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89" w:rsidRDefault="00F53E68" w:rsidP="00634277">
      <w:pPr>
        <w:spacing w:after="0" w:line="240" w:lineRule="auto"/>
        <w:rPr>
          <w:rFonts w:ascii="Tahoma" w:hAnsi="Tahoma" w:cs="Tahoma"/>
          <w:b/>
          <w:bCs/>
          <w:color w:val="000000"/>
          <w:sz w:val="20"/>
          <w:szCs w:val="16"/>
          <w:shd w:val="clear" w:color="auto" w:fill="FFFFFF"/>
        </w:rPr>
      </w:pPr>
      <w:r w:rsidRPr="00FA7C89">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59264" behindDoc="1" locked="0" layoutInCell="1" allowOverlap="1" wp14:anchorId="34D53282" wp14:editId="71FF654A">
                <wp:simplePos x="0" y="0"/>
                <wp:positionH relativeFrom="margin">
                  <wp:posOffset>-310515</wp:posOffset>
                </wp:positionH>
                <wp:positionV relativeFrom="topMargin">
                  <wp:posOffset>834721</wp:posOffset>
                </wp:positionV>
                <wp:extent cx="6642100" cy="739140"/>
                <wp:effectExtent l="95250" t="38100" r="101600" b="156210"/>
                <wp:wrapNone/>
                <wp:docPr id="1" name="Rectangle 1"/>
                <wp:cNvGraphicFramePr/>
                <a:graphic xmlns:a="http://schemas.openxmlformats.org/drawingml/2006/main">
                  <a:graphicData uri="http://schemas.microsoft.com/office/word/2010/wordprocessingShape">
                    <wps:wsp>
                      <wps:cNvSpPr/>
                      <wps:spPr>
                        <a:xfrm>
                          <a:off x="0" y="0"/>
                          <a:ext cx="6642100" cy="739140"/>
                        </a:xfrm>
                        <a:prstGeom prst="rect">
                          <a:avLst/>
                        </a:prstGeom>
                        <a:ln>
                          <a:noFill/>
                        </a:ln>
                        <a:effectLst>
                          <a:outerShdw blurRad="88900" dist="50800" dir="5400000" algn="t" rotWithShape="0">
                            <a:prstClr val="black">
                              <a:alpha val="25000"/>
                            </a:prstClr>
                          </a:outerShdw>
                        </a:effectLst>
                      </wps:spPr>
                      <wps:style>
                        <a:lnRef idx="2">
                          <a:schemeClr val="accent1">
                            <a:shade val="50000"/>
                          </a:schemeClr>
                        </a:lnRef>
                        <a:fillRef idx="1003">
                          <a:schemeClr val="dk2"/>
                        </a:fillRef>
                        <a:effectRef idx="0">
                          <a:schemeClr val="accent1"/>
                        </a:effectRef>
                        <a:fontRef idx="minor">
                          <a:schemeClr val="lt1"/>
                        </a:fontRef>
                      </wps:style>
                      <wps:txbx>
                        <w:txbxContent>
                          <w:p w:rsidR="00BF3DF8" w:rsidRDefault="00BF3DF8" w:rsidP="00FA7C89"/>
                          <w:p w:rsidR="00BF3DF8" w:rsidRDefault="00BF3DF8" w:rsidP="00FA7C89"/>
                          <w:tbl>
                            <w:tblPr>
                              <w:tblW w:w="5000" w:type="pct"/>
                              <w:jc w:val="center"/>
                              <w:tblLook w:val="04A0" w:firstRow="1" w:lastRow="0" w:firstColumn="1" w:lastColumn="0" w:noHBand="0" w:noVBand="1"/>
                            </w:tblPr>
                            <w:tblGrid>
                              <w:gridCol w:w="3454"/>
                              <w:gridCol w:w="3454"/>
                              <w:gridCol w:w="3455"/>
                            </w:tblGrid>
                            <w:tr w:rsidR="00BF3DF8" w:rsidTr="003D737D">
                              <w:trPr>
                                <w:jc w:val="center"/>
                              </w:trPr>
                              <w:tc>
                                <w:tcPr>
                                  <w:tcW w:w="3506" w:type="dxa"/>
                                </w:tcPr>
                                <w:p w:rsidR="00BF3DF8" w:rsidRDefault="00BF3DF8">
                                  <w:pPr>
                                    <w:spacing w:after="160" w:line="264" w:lineRule="auto"/>
                                    <w:jc w:val="center"/>
                                  </w:pPr>
                                </w:p>
                              </w:tc>
                              <w:tc>
                                <w:tcPr>
                                  <w:tcW w:w="3506" w:type="dxa"/>
                                </w:tcPr>
                                <w:p w:rsidR="00BF3DF8" w:rsidRDefault="00BF3DF8">
                                  <w:pPr>
                                    <w:spacing w:after="160" w:line="264" w:lineRule="auto"/>
                                    <w:jc w:val="center"/>
                                  </w:pPr>
                                </w:p>
                              </w:tc>
                              <w:tc>
                                <w:tcPr>
                                  <w:tcW w:w="3507" w:type="dxa"/>
                                </w:tcPr>
                                <w:p w:rsidR="00BF3DF8" w:rsidRDefault="00BF3DF8">
                                  <w:pPr>
                                    <w:jc w:val="center"/>
                                  </w:pPr>
                                </w:p>
                              </w:tc>
                            </w:tr>
                          </w:tbl>
                          <w:p w:rsidR="00BF3DF8" w:rsidRDefault="00BF3DF8" w:rsidP="00FA7C89">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topMargin">
                  <wp14:pctHeight>0</wp14:pctHeight>
                </wp14:sizeRelV>
              </wp:anchor>
            </w:drawing>
          </mc:Choice>
          <mc:Fallback>
            <w:pict>
              <v:rect id="Rectangle 1" o:spid="_x0000_s1026" style="position:absolute;margin-left:-24.45pt;margin-top:65.75pt;width:523pt;height:58.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" fillcolor="#2d69b5 [2578]" stroked="f" strokeweight="2pt">
                <v:fill color2="#091525 [962]" rotate="t" focusposition=".5,.5" focussize="" focus="100%" type="gradientRadial"/>
                <v:shadow on="t" color="black" opacity=".25" origin=",-.5" offset="0,4pt"/>
                <v:textbox inset=",14.4pt">
                  <w:txbxContent>
                    <w:p w:rsidR="00BF3DF8" w:rsidRDefault="00BF3DF8" w:rsidP="00FA7C89"/>
                    <w:p w:rsidR="00BF3DF8" w:rsidRDefault="00BF3DF8" w:rsidP="00FA7C89"/>
                    <w:tbl>
                      <w:tblPr>
                        <w:tblW w:w="5000" w:type="pct"/>
                        <w:jc w:val="center"/>
                        <w:tblLook w:val="04A0" w:firstRow="1" w:lastRow="0" w:firstColumn="1" w:lastColumn="0" w:noHBand="0" w:noVBand="1"/>
                      </w:tblPr>
                      <w:tblGrid>
                        <w:gridCol w:w="3454"/>
                        <w:gridCol w:w="3454"/>
                        <w:gridCol w:w="3455"/>
                      </w:tblGrid>
                      <w:tr w:rsidR="00BF3DF8" w:rsidTr="003D737D">
                        <w:trPr>
                          <w:jc w:val="center"/>
                        </w:trPr>
                        <w:tc>
                          <w:tcPr>
                            <w:tcW w:w="3506" w:type="dxa"/>
                          </w:tcPr>
                          <w:p w:rsidR="00BF3DF8" w:rsidRDefault="00BF3DF8">
                            <w:pPr>
                              <w:spacing w:after="160" w:line="264" w:lineRule="auto"/>
                              <w:jc w:val="center"/>
                            </w:pPr>
                          </w:p>
                        </w:tc>
                        <w:tc>
                          <w:tcPr>
                            <w:tcW w:w="3506" w:type="dxa"/>
                          </w:tcPr>
                          <w:p w:rsidR="00BF3DF8" w:rsidRDefault="00BF3DF8">
                            <w:pPr>
                              <w:spacing w:after="160" w:line="264" w:lineRule="auto"/>
                              <w:jc w:val="center"/>
                            </w:pPr>
                          </w:p>
                        </w:tc>
                        <w:tc>
                          <w:tcPr>
                            <w:tcW w:w="3507" w:type="dxa"/>
                          </w:tcPr>
                          <w:p w:rsidR="00BF3DF8" w:rsidRDefault="00BF3DF8">
                            <w:pPr>
                              <w:jc w:val="center"/>
                            </w:pPr>
                          </w:p>
                        </w:tc>
                      </w:tr>
                    </w:tbl>
                    <w:p w:rsidR="00BF3DF8" w:rsidRDefault="00BF3DF8" w:rsidP="00FA7C89">
                      <w:pPr>
                        <w:jc w:val="center"/>
                      </w:pPr>
                    </w:p>
                  </w:txbxContent>
                </v:textbox>
                <w10:wrap anchorx="margin" anchory="margin"/>
              </v:rect>
            </w:pict>
          </mc:Fallback>
        </mc:AlternateContent>
      </w:r>
      <w:r w:rsidR="00A76978" w:rsidRPr="00FA7C89">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0288" behindDoc="0" locked="0" layoutInCell="1" allowOverlap="1" wp14:anchorId="3EF43147" wp14:editId="39134F47">
                <wp:simplePos x="0" y="0"/>
                <wp:positionH relativeFrom="column">
                  <wp:posOffset>3210296</wp:posOffset>
                </wp:positionH>
                <wp:positionV relativeFrom="paragraph">
                  <wp:posOffset>26670</wp:posOffset>
                </wp:positionV>
                <wp:extent cx="2910205" cy="771525"/>
                <wp:effectExtent l="0" t="0" r="0" b="952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20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3DF8" w:rsidRPr="002671A9" w:rsidRDefault="00BF3DF8" w:rsidP="00FA7C89">
                            <w:pPr>
                              <w:spacing w:after="0" w:line="240" w:lineRule="auto"/>
                              <w:jc w:val="right"/>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w:t>
                            </w:r>
                            <w:r w:rsidRPr="002671A9">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BF3DF8" w:rsidRPr="00491E34" w:rsidRDefault="00BF3DF8" w:rsidP="00FA7C89">
                            <w:pPr>
                              <w:spacing w:after="0" w:line="240" w:lineRule="auto"/>
                              <w:jc w:val="right"/>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Flash Informativo 1</w:t>
                            </w:r>
                            <w:r w:rsidR="00BF5CA9">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3</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Marzo </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7" type="#_x0000_t202" style="position:absolute;margin-left:252.8pt;margin-top:2.1pt;width:229.1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" filled="f" stroked="f">
                <v:textbox>
                  <w:txbxContent>
                    <w:p w:rsidR="00BF3DF8" w:rsidRPr="002671A9" w:rsidRDefault="00BF3DF8" w:rsidP="00FA7C89">
                      <w:pPr>
                        <w:spacing w:after="0" w:line="240" w:lineRule="auto"/>
                        <w:jc w:val="right"/>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w:t>
                      </w:r>
                      <w:r w:rsidRPr="002671A9">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BF3DF8" w:rsidRPr="00491E34" w:rsidRDefault="00BF3DF8" w:rsidP="00FA7C89">
                      <w:pPr>
                        <w:spacing w:after="0" w:line="240" w:lineRule="auto"/>
                        <w:jc w:val="right"/>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Flash Informativo 1</w:t>
                      </w:r>
                      <w:r w:rsidR="00BF5CA9">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3</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Marzo </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v:textbox>
              </v:shape>
            </w:pict>
          </mc:Fallback>
        </mc:AlternateContent>
      </w:r>
      <w:r w:rsidR="00A76978" w:rsidRPr="00FA7C89">
        <w:rPr>
          <w:rFonts w:ascii="Tahoma" w:hAnsi="Tahoma" w:cs="Tahoma"/>
          <w:b/>
          <w:bCs/>
          <w:noProof/>
          <w:color w:val="000000"/>
          <w:sz w:val="20"/>
          <w:szCs w:val="16"/>
          <w:shd w:val="clear" w:color="auto" w:fill="FFFFFF"/>
          <w:lang w:val="es-EC" w:eastAsia="es-EC"/>
        </w:rPr>
        <w:drawing>
          <wp:anchor distT="0" distB="0" distL="114300" distR="114300" simplePos="0" relativeHeight="251661312" behindDoc="1" locked="0" layoutInCell="1" allowOverlap="1" wp14:anchorId="6FA76310" wp14:editId="03905899">
            <wp:simplePos x="0" y="0"/>
            <wp:positionH relativeFrom="column">
              <wp:posOffset>4438015</wp:posOffset>
            </wp:positionH>
            <wp:positionV relativeFrom="paragraph">
              <wp:posOffset>-549275</wp:posOffset>
            </wp:positionV>
            <wp:extent cx="1615440" cy="445135"/>
            <wp:effectExtent l="0" t="0" r="3810" b="0"/>
            <wp:wrapTight wrapText="bothSides">
              <wp:wrapPolygon edited="0">
                <wp:start x="0" y="0"/>
                <wp:lineTo x="0" y="20337"/>
                <wp:lineTo x="21396" y="20337"/>
                <wp:lineTo x="21396" y="0"/>
                <wp:lineTo x="0" y="0"/>
              </wp:wrapPolygon>
            </wp:wrapTight>
            <wp:docPr id="1714522"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22" name="1 Imagen"/>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5440" cy="445135"/>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rsidR="00FA7C89" w:rsidRDefault="00FA7C89" w:rsidP="00634277">
      <w:pPr>
        <w:spacing w:after="0" w:line="240" w:lineRule="auto"/>
        <w:rPr>
          <w:rFonts w:ascii="Tahoma" w:hAnsi="Tahoma" w:cs="Tahoma"/>
          <w:b/>
          <w:bCs/>
          <w:color w:val="000000"/>
          <w:sz w:val="20"/>
          <w:szCs w:val="16"/>
          <w:shd w:val="clear" w:color="auto" w:fill="FFFFFF"/>
        </w:rPr>
      </w:pPr>
    </w:p>
    <w:p w:rsidR="00FA7C89" w:rsidRDefault="00FA7C89" w:rsidP="00634277">
      <w:pPr>
        <w:spacing w:after="0" w:line="240" w:lineRule="auto"/>
        <w:rPr>
          <w:rFonts w:ascii="Tahoma" w:hAnsi="Tahoma" w:cs="Tahoma"/>
          <w:b/>
          <w:bCs/>
          <w:color w:val="000000"/>
          <w:sz w:val="20"/>
          <w:szCs w:val="16"/>
          <w:shd w:val="clear" w:color="auto" w:fill="FFFFFF"/>
        </w:rPr>
      </w:pPr>
    </w:p>
    <w:p w:rsidR="00FA7C89" w:rsidRDefault="00FA7C89" w:rsidP="00634277">
      <w:pPr>
        <w:spacing w:after="0" w:line="240" w:lineRule="auto"/>
        <w:rPr>
          <w:rFonts w:ascii="Tahoma" w:hAnsi="Tahoma" w:cs="Tahoma"/>
          <w:b/>
          <w:bCs/>
          <w:color w:val="000000"/>
          <w:sz w:val="20"/>
          <w:szCs w:val="16"/>
          <w:shd w:val="clear" w:color="auto" w:fill="FFFFFF"/>
        </w:rPr>
      </w:pPr>
    </w:p>
    <w:p w:rsidR="00FA7C89" w:rsidRDefault="00FA7C89" w:rsidP="00634277">
      <w:pPr>
        <w:spacing w:after="0" w:line="240" w:lineRule="auto"/>
        <w:rPr>
          <w:noProof/>
          <w:lang w:eastAsia="es-ES"/>
        </w:rPr>
      </w:pPr>
    </w:p>
    <w:p w:rsidR="00710602" w:rsidRDefault="00710602" w:rsidP="00634277">
      <w:pPr>
        <w:spacing w:after="0" w:line="240" w:lineRule="auto"/>
        <w:rPr>
          <w:rFonts w:ascii="Tahoma" w:hAnsi="Tahoma" w:cs="Tahoma"/>
          <w:b/>
          <w:bCs/>
          <w:color w:val="000000"/>
          <w:sz w:val="20"/>
          <w:szCs w:val="16"/>
          <w:shd w:val="clear" w:color="auto" w:fill="FFFFFF"/>
        </w:rPr>
      </w:pPr>
    </w:p>
    <w:p w:rsidR="00FA7C89" w:rsidRPr="003D737D" w:rsidRDefault="00AD7D8C" w:rsidP="00AD7D8C">
      <w:pPr>
        <w:spacing w:after="0" w:line="240" w:lineRule="auto"/>
        <w:jc w:val="center"/>
        <w:rPr>
          <w:rFonts w:ascii="Tahoma" w:hAnsi="Tahoma" w:cs="Tahoma"/>
          <w:b/>
          <w:bCs/>
          <w:color w:val="0070C0"/>
          <w:szCs w:val="16"/>
          <w:shd w:val="clear" w:color="auto" w:fill="FFFFFF"/>
          <w14:textOutline w14:w="9525" w14:cap="rnd" w14:cmpd="sng" w14:algn="ctr">
            <w14:solidFill>
              <w14:srgbClr w14:val="0070C0"/>
            </w14:solidFill>
            <w14:prstDash w14:val="solid"/>
            <w14:bevel/>
          </w14:textOutline>
        </w:rPr>
      </w:pPr>
      <w:r w:rsidRPr="003D737D">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t xml:space="preserve">FUNCIÓN </w:t>
      </w:r>
      <w:r w:rsidR="00D1320E">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t>LEGISLATIVA</w:t>
      </w:r>
    </w:p>
    <w:p w:rsidR="00AD7D8C" w:rsidRDefault="00AD7D8C" w:rsidP="00710602">
      <w:pPr>
        <w:spacing w:after="0" w:line="240" w:lineRule="auto"/>
        <w:jc w:val="center"/>
        <w:rPr>
          <w:rFonts w:ascii="Tahoma" w:eastAsia="Times New Roman" w:hAnsi="Tahoma" w:cs="Tahoma"/>
          <w:b/>
          <w:bCs/>
          <w:color w:val="000000"/>
          <w:sz w:val="16"/>
          <w:szCs w:val="16"/>
          <w:lang w:eastAsia="es-ES"/>
        </w:rPr>
      </w:pPr>
    </w:p>
    <w:p w:rsidR="00710602" w:rsidRPr="00710602" w:rsidRDefault="00710602" w:rsidP="00710602">
      <w:pPr>
        <w:spacing w:after="0" w:line="240" w:lineRule="auto"/>
        <w:jc w:val="center"/>
        <w:rPr>
          <w:rFonts w:ascii="Tahoma" w:eastAsia="Times New Roman" w:hAnsi="Tahoma" w:cs="Tahoma"/>
          <w:b/>
          <w:bCs/>
          <w:color w:val="FFFFFF" w:themeColor="background1"/>
          <w:sz w:val="16"/>
          <w:szCs w:val="16"/>
          <w:lang w:eastAsia="es-ES"/>
        </w:rPr>
      </w:pPr>
      <w:r w:rsidRPr="005B5D4F">
        <w:rPr>
          <w:rFonts w:ascii="Tahoma" w:eastAsia="Times New Roman" w:hAnsi="Tahoma" w:cs="Tahoma"/>
          <w:b/>
          <w:bCs/>
          <w:noProof/>
          <w:color w:val="FFFFFF" w:themeColor="background1"/>
          <w:sz w:val="24"/>
          <w:szCs w:val="16"/>
          <w:lang w:val="es-EC" w:eastAsia="es-EC"/>
        </w:rPr>
        <mc:AlternateContent>
          <mc:Choice Requires="wps">
            <w:drawing>
              <wp:anchor distT="0" distB="0" distL="114300" distR="114300" simplePos="0" relativeHeight="251665408" behindDoc="1" locked="0" layoutInCell="1" allowOverlap="1" wp14:anchorId="60CF67E0" wp14:editId="0FD0E3C8">
                <wp:simplePos x="0" y="0"/>
                <wp:positionH relativeFrom="column">
                  <wp:posOffset>-951230</wp:posOffset>
                </wp:positionH>
                <wp:positionV relativeFrom="paragraph">
                  <wp:posOffset>67641</wp:posOffset>
                </wp:positionV>
                <wp:extent cx="7012940" cy="285750"/>
                <wp:effectExtent l="57150" t="19050" r="73660" b="95250"/>
                <wp:wrapNone/>
                <wp:docPr id="693" name="Rounded Rectangle 693"/>
                <wp:cNvGraphicFramePr/>
                <a:graphic xmlns:a="http://schemas.openxmlformats.org/drawingml/2006/main">
                  <a:graphicData uri="http://schemas.microsoft.com/office/word/2010/wordprocessingShape">
                    <wps:wsp>
                      <wps:cNvSpPr/>
                      <wps:spPr>
                        <a:xfrm>
                          <a:off x="0" y="0"/>
                          <a:ext cx="7012940" cy="28575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93" o:spid="_x0000_s1026" style="position:absolute;margin-left:-74.9pt;margin-top:5.35pt;width:552.2pt;height:2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D1320E" w:rsidRPr="00D1320E" w:rsidRDefault="00D1320E" w:rsidP="00D1320E">
      <w:pPr>
        <w:spacing w:after="0" w:line="240" w:lineRule="auto"/>
        <w:rPr>
          <w:rFonts w:ascii="Tahoma" w:eastAsia="Times New Roman" w:hAnsi="Tahoma" w:cs="Tahoma"/>
          <w:b/>
          <w:bCs/>
          <w:color w:val="FFFFFF" w:themeColor="background1"/>
          <w:sz w:val="24"/>
          <w:szCs w:val="16"/>
          <w:lang w:eastAsia="es-ES"/>
        </w:rPr>
      </w:pPr>
      <w:r w:rsidRPr="00D1320E">
        <w:rPr>
          <w:rFonts w:ascii="Tahoma" w:eastAsia="Times New Roman" w:hAnsi="Tahoma" w:cs="Tahoma"/>
          <w:b/>
          <w:bCs/>
          <w:color w:val="FFFFFF" w:themeColor="background1"/>
          <w:sz w:val="24"/>
          <w:szCs w:val="16"/>
          <w:lang w:eastAsia="es-ES"/>
        </w:rPr>
        <w:t xml:space="preserve">Asamblea Nacional República </w:t>
      </w:r>
      <w:r>
        <w:rPr>
          <w:rFonts w:ascii="Tahoma" w:eastAsia="Times New Roman" w:hAnsi="Tahoma" w:cs="Tahoma"/>
          <w:b/>
          <w:bCs/>
          <w:color w:val="FFFFFF" w:themeColor="background1"/>
          <w:sz w:val="24"/>
          <w:szCs w:val="16"/>
          <w:lang w:eastAsia="es-ES"/>
        </w:rPr>
        <w:t xml:space="preserve">del </w:t>
      </w:r>
      <w:r w:rsidRPr="00D1320E">
        <w:rPr>
          <w:rFonts w:ascii="Tahoma" w:eastAsia="Times New Roman" w:hAnsi="Tahoma" w:cs="Tahoma"/>
          <w:b/>
          <w:bCs/>
          <w:color w:val="FFFFFF" w:themeColor="background1"/>
          <w:sz w:val="24"/>
          <w:szCs w:val="16"/>
          <w:lang w:eastAsia="es-ES"/>
        </w:rPr>
        <w:t>Ecuador </w:t>
      </w:r>
    </w:p>
    <w:p w:rsidR="00710602" w:rsidRDefault="00710602" w:rsidP="00710602">
      <w:pPr>
        <w:spacing w:after="0" w:line="240" w:lineRule="auto"/>
        <w:rPr>
          <w:rFonts w:ascii="Tahoma" w:hAnsi="Tahoma" w:cs="Tahoma"/>
          <w:sz w:val="16"/>
          <w:szCs w:val="16"/>
        </w:rPr>
      </w:pPr>
    </w:p>
    <w:p w:rsidR="00D1320E" w:rsidRDefault="00D1320E" w:rsidP="00710602">
      <w:pPr>
        <w:spacing w:after="0" w:line="240" w:lineRule="auto"/>
        <w:rPr>
          <w:rFonts w:ascii="Tahoma" w:hAnsi="Tahoma" w:cs="Tahoma"/>
          <w:sz w:val="16"/>
          <w:szCs w:val="16"/>
        </w:rPr>
      </w:pPr>
    </w:p>
    <w:p w:rsidR="00E07A75" w:rsidRPr="00E07A75" w:rsidRDefault="00D1320E" w:rsidP="00D1320E">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S</w:t>
      </w:r>
      <w:r w:rsidR="00E07A75" w:rsidRPr="00E07A75">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uplemento</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Registro Oficial </w:t>
      </w:r>
      <w:r w:rsidR="00E07A75" w:rsidRPr="00E07A75">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711,</w:t>
      </w:r>
      <w:r w:rsidR="00E07A75">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E07A75" w:rsidRPr="00E07A75">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Lunes 14 de Marzo de 2016</w:t>
      </w:r>
    </w:p>
    <w:p w:rsidR="00D1320E" w:rsidRDefault="00D1320E" w:rsidP="00D1320E">
      <w:pPr>
        <w:pStyle w:val="Prrafodelista"/>
        <w:spacing w:after="0" w:line="240" w:lineRule="auto"/>
        <w:rPr>
          <w:rFonts w:ascii="Tahoma" w:eastAsia="Times New Roman" w:hAnsi="Tahoma" w:cs="Tahoma"/>
          <w:b/>
          <w:bCs/>
          <w:color w:val="0070C0"/>
          <w:sz w:val="18"/>
          <w:szCs w:val="18"/>
          <w:lang w:eastAsia="es-ES"/>
        </w:rPr>
      </w:pPr>
    </w:p>
    <w:p w:rsidR="00710602" w:rsidRPr="00D1320E" w:rsidRDefault="005C7B4E" w:rsidP="00D1320E">
      <w:pPr>
        <w:pStyle w:val="Prrafodelista"/>
        <w:numPr>
          <w:ilvl w:val="0"/>
          <w:numId w:val="15"/>
        </w:numPr>
        <w:spacing w:after="0" w:line="240" w:lineRule="auto"/>
        <w:rPr>
          <w:rFonts w:ascii="Tahoma" w:eastAsia="Times New Roman" w:hAnsi="Tahoma" w:cs="Tahoma"/>
          <w:b/>
          <w:bCs/>
          <w:color w:val="0070C0"/>
          <w:sz w:val="18"/>
          <w:szCs w:val="18"/>
          <w:lang w:eastAsia="es-ES"/>
        </w:rPr>
      </w:pPr>
      <w:hyperlink r:id="rId11" w:history="1">
        <w:r w:rsidR="00D1320E" w:rsidRPr="00D1320E">
          <w:rPr>
            <w:rFonts w:ascii="Tahoma" w:eastAsia="Times New Roman" w:hAnsi="Tahoma" w:cs="Tahoma"/>
            <w:b/>
            <w:bCs/>
            <w:color w:val="0070C0"/>
            <w:sz w:val="18"/>
            <w:szCs w:val="18"/>
            <w:lang w:eastAsia="es-ES"/>
          </w:rPr>
          <w:t>s/n</w:t>
        </w:r>
      </w:hyperlink>
      <w:r w:rsidR="00D1320E" w:rsidRPr="00D1320E">
        <w:rPr>
          <w:rFonts w:ascii="Tahoma" w:eastAsia="Times New Roman" w:hAnsi="Tahoma" w:cs="Tahoma"/>
          <w:b/>
          <w:bCs/>
          <w:color w:val="0070C0"/>
          <w:sz w:val="18"/>
          <w:szCs w:val="18"/>
          <w:lang w:eastAsia="es-ES"/>
        </w:rPr>
        <w:t xml:space="preserve">: </w:t>
      </w:r>
      <w:r w:rsidR="00D1320E">
        <w:rPr>
          <w:rFonts w:ascii="Tahoma" w:eastAsia="Times New Roman" w:hAnsi="Tahoma" w:cs="Tahoma"/>
          <w:bCs/>
          <w:sz w:val="18"/>
          <w:szCs w:val="18"/>
          <w:lang w:eastAsia="es-ES"/>
        </w:rPr>
        <w:t>Se expide la L</w:t>
      </w:r>
      <w:r w:rsidR="00D1320E" w:rsidRPr="00D1320E">
        <w:rPr>
          <w:rFonts w:ascii="Tahoma" w:eastAsia="Times New Roman" w:hAnsi="Tahoma" w:cs="Tahoma"/>
          <w:bCs/>
          <w:sz w:val="18"/>
          <w:szCs w:val="18"/>
          <w:lang w:eastAsia="es-ES"/>
        </w:rPr>
        <w:t>ey Orgánica de Tierras Rurales y Territorios Ancestrales</w:t>
      </w:r>
    </w:p>
    <w:p w:rsidR="00945A0C" w:rsidRDefault="00945A0C" w:rsidP="00CA445F">
      <w:pPr>
        <w:pStyle w:val="Prrafodelista"/>
        <w:spacing w:after="0" w:line="240" w:lineRule="auto"/>
        <w:ind w:left="36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E07A75" w:rsidRDefault="00E07A75" w:rsidP="00E07A75">
      <w:pPr>
        <w:spacing w:after="0" w:line="240" w:lineRule="auto"/>
        <w:rPr>
          <w:rFonts w:ascii="Tahoma" w:hAnsi="Tahoma" w:cs="Tahoma"/>
          <w:b/>
          <w:bCs/>
          <w:color w:val="000000"/>
          <w:sz w:val="20"/>
          <w:szCs w:val="16"/>
          <w:shd w:val="clear" w:color="auto" w:fill="FFFFFF"/>
        </w:rPr>
      </w:pPr>
    </w:p>
    <w:p w:rsidR="00E07A75" w:rsidRPr="003D737D" w:rsidRDefault="00E07A75" w:rsidP="00E07A75">
      <w:pPr>
        <w:spacing w:after="0" w:line="240" w:lineRule="auto"/>
        <w:jc w:val="center"/>
        <w:rPr>
          <w:rFonts w:ascii="Tahoma" w:hAnsi="Tahoma" w:cs="Tahoma"/>
          <w:b/>
          <w:bCs/>
          <w:color w:val="0070C0"/>
          <w:szCs w:val="16"/>
          <w:shd w:val="clear" w:color="auto" w:fill="FFFFFF"/>
          <w14:textOutline w14:w="9525" w14:cap="rnd" w14:cmpd="sng" w14:algn="ctr">
            <w14:solidFill>
              <w14:srgbClr w14:val="0070C0"/>
            </w14:solidFill>
            <w14:prstDash w14:val="solid"/>
            <w14:bevel/>
          </w14:textOutline>
        </w:rPr>
      </w:pPr>
      <w:r w:rsidRPr="003D737D">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t>FUNCIÓN EJECUTIVA</w:t>
      </w:r>
    </w:p>
    <w:p w:rsidR="00E07A75" w:rsidRDefault="00E07A75" w:rsidP="00E07A75">
      <w:pPr>
        <w:spacing w:after="0" w:line="240" w:lineRule="auto"/>
        <w:jc w:val="center"/>
        <w:rPr>
          <w:rFonts w:ascii="Tahoma" w:eastAsia="Times New Roman" w:hAnsi="Tahoma" w:cs="Tahoma"/>
          <w:b/>
          <w:bCs/>
          <w:color w:val="000000"/>
          <w:sz w:val="16"/>
          <w:szCs w:val="16"/>
          <w:lang w:eastAsia="es-ES"/>
        </w:rPr>
      </w:pPr>
    </w:p>
    <w:p w:rsidR="00E07A75" w:rsidRPr="00710602" w:rsidRDefault="00E07A75" w:rsidP="00E07A75">
      <w:pPr>
        <w:spacing w:after="0" w:line="240" w:lineRule="auto"/>
        <w:jc w:val="center"/>
        <w:rPr>
          <w:rFonts w:ascii="Tahoma" w:eastAsia="Times New Roman" w:hAnsi="Tahoma" w:cs="Tahoma"/>
          <w:b/>
          <w:bCs/>
          <w:color w:val="FFFFFF" w:themeColor="background1"/>
          <w:sz w:val="16"/>
          <w:szCs w:val="16"/>
          <w:lang w:eastAsia="es-ES"/>
        </w:rPr>
      </w:pPr>
      <w:r w:rsidRPr="005B5D4F">
        <w:rPr>
          <w:rFonts w:ascii="Tahoma" w:eastAsia="Times New Roman" w:hAnsi="Tahoma" w:cs="Tahoma"/>
          <w:b/>
          <w:bCs/>
          <w:noProof/>
          <w:color w:val="FFFFFF" w:themeColor="background1"/>
          <w:sz w:val="24"/>
          <w:szCs w:val="16"/>
          <w:lang w:val="es-EC" w:eastAsia="es-EC"/>
        </w:rPr>
        <mc:AlternateContent>
          <mc:Choice Requires="wps">
            <w:drawing>
              <wp:anchor distT="0" distB="0" distL="114300" distR="114300" simplePos="0" relativeHeight="251667456" behindDoc="1" locked="0" layoutInCell="1" allowOverlap="1" wp14:anchorId="380E33CA" wp14:editId="13E58D0D">
                <wp:simplePos x="0" y="0"/>
                <wp:positionH relativeFrom="column">
                  <wp:posOffset>-951230</wp:posOffset>
                </wp:positionH>
                <wp:positionV relativeFrom="paragraph">
                  <wp:posOffset>67641</wp:posOffset>
                </wp:positionV>
                <wp:extent cx="7012940" cy="285750"/>
                <wp:effectExtent l="57150" t="19050" r="73660" b="95250"/>
                <wp:wrapNone/>
                <wp:docPr id="2" name="Rounded Rectangle 2"/>
                <wp:cNvGraphicFramePr/>
                <a:graphic xmlns:a="http://schemas.openxmlformats.org/drawingml/2006/main">
                  <a:graphicData uri="http://schemas.microsoft.com/office/word/2010/wordprocessingShape">
                    <wps:wsp>
                      <wps:cNvSpPr/>
                      <wps:spPr>
                        <a:xfrm>
                          <a:off x="0" y="0"/>
                          <a:ext cx="7012940" cy="28575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74.9pt;margin-top:5.35pt;width:552.2pt;height:2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E07A75" w:rsidRPr="00710602" w:rsidRDefault="00E07A75" w:rsidP="00E07A75">
      <w:pPr>
        <w:spacing w:after="0" w:line="240" w:lineRule="auto"/>
        <w:rPr>
          <w:rFonts w:ascii="Tahoma" w:eastAsia="Times New Roman" w:hAnsi="Tahoma" w:cs="Tahoma"/>
          <w:b/>
          <w:bCs/>
          <w:color w:val="FFFFFF" w:themeColor="background1"/>
          <w:sz w:val="24"/>
          <w:szCs w:val="16"/>
          <w:lang w:eastAsia="es-ES"/>
        </w:rPr>
      </w:pPr>
      <w:r>
        <w:rPr>
          <w:rFonts w:ascii="Tahoma" w:eastAsia="Times New Roman" w:hAnsi="Tahoma" w:cs="Tahoma"/>
          <w:b/>
          <w:bCs/>
          <w:color w:val="FFFFFF" w:themeColor="background1"/>
          <w:sz w:val="24"/>
          <w:szCs w:val="16"/>
          <w:lang w:eastAsia="es-ES"/>
        </w:rPr>
        <w:t>Servicio de Rentas Internas</w:t>
      </w:r>
    </w:p>
    <w:p w:rsidR="00E07A75" w:rsidRPr="00710602" w:rsidRDefault="00E07A75" w:rsidP="00E07A75">
      <w:pPr>
        <w:spacing w:after="0" w:line="240" w:lineRule="auto"/>
        <w:rPr>
          <w:rFonts w:ascii="Tahoma" w:eastAsia="Times New Roman" w:hAnsi="Tahoma" w:cs="Tahoma"/>
          <w:b/>
          <w:bCs/>
          <w:color w:val="FFFFFF" w:themeColor="background1"/>
          <w:sz w:val="24"/>
          <w:szCs w:val="16"/>
          <w:lang w:eastAsia="es-ES"/>
        </w:rPr>
      </w:pPr>
    </w:p>
    <w:p w:rsidR="00E07A75" w:rsidRPr="00E07A75" w:rsidRDefault="00E07A75" w:rsidP="00E07A75">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bookmarkStart w:id="0" w:name="_GoBack"/>
      <w:r w:rsidRPr="00E07A75">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Suplemento </w:t>
      </w:r>
      <w:r w:rsidRPr="0097165A">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Pr="00E07A75">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709,</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E07A75">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Jueves 10 de Marzo de 2016</w:t>
      </w:r>
    </w:p>
    <w:p w:rsidR="00E07A75" w:rsidRDefault="00E07A75" w:rsidP="00CA445F">
      <w:pPr>
        <w:spacing w:after="0" w:line="240" w:lineRule="auto"/>
        <w:jc w:val="center"/>
        <w:rPr>
          <w:rFonts w:ascii="Arial" w:eastAsia="Times New Roman" w:hAnsi="Arial" w:cs="Arial"/>
          <w:color w:val="000000"/>
          <w:sz w:val="27"/>
          <w:szCs w:val="27"/>
          <w:lang w:eastAsia="es-ES"/>
        </w:rPr>
      </w:pPr>
    </w:p>
    <w:p w:rsidR="00E07A75" w:rsidRPr="00E07A75" w:rsidRDefault="00D1320E" w:rsidP="00E07A75">
      <w:pPr>
        <w:pStyle w:val="Prrafodelista"/>
        <w:numPr>
          <w:ilvl w:val="0"/>
          <w:numId w:val="15"/>
        </w:numPr>
        <w:spacing w:after="0" w:line="240" w:lineRule="auto"/>
        <w:rPr>
          <w:rFonts w:ascii="Tahoma" w:eastAsia="Times New Roman" w:hAnsi="Tahoma" w:cs="Tahoma"/>
          <w:bCs/>
          <w:sz w:val="18"/>
          <w:szCs w:val="18"/>
          <w:lang w:eastAsia="es-ES"/>
        </w:rPr>
      </w:pPr>
      <w:r>
        <w:rPr>
          <w:rFonts w:ascii="Tahoma" w:eastAsia="Times New Roman" w:hAnsi="Tahoma" w:cs="Tahoma"/>
          <w:b/>
          <w:bCs/>
          <w:color w:val="0070C0"/>
          <w:sz w:val="18"/>
          <w:szCs w:val="18"/>
          <w:lang w:eastAsia="es-ES"/>
        </w:rPr>
        <w:t xml:space="preserve">Resolución </w:t>
      </w:r>
      <w:hyperlink r:id="rId12" w:history="1">
        <w:r w:rsidR="00E07A75" w:rsidRPr="00E07A75">
          <w:rPr>
            <w:rFonts w:ascii="Tahoma" w:eastAsia="Times New Roman" w:hAnsi="Tahoma" w:cs="Tahoma"/>
            <w:b/>
            <w:bCs/>
            <w:color w:val="0070C0"/>
            <w:sz w:val="18"/>
            <w:szCs w:val="18"/>
            <w:lang w:eastAsia="es-ES"/>
          </w:rPr>
          <w:t>NAC-DGERCGC16-00000126</w:t>
        </w:r>
      </w:hyperlink>
      <w:r w:rsidR="00E07A75" w:rsidRPr="00E07A75">
        <w:rPr>
          <w:rFonts w:ascii="Tahoma" w:eastAsia="Times New Roman" w:hAnsi="Tahoma" w:cs="Tahoma"/>
          <w:b/>
          <w:bCs/>
          <w:color w:val="0070C0"/>
          <w:sz w:val="18"/>
          <w:szCs w:val="18"/>
          <w:lang w:eastAsia="es-ES"/>
        </w:rPr>
        <w:t xml:space="preserve">: </w:t>
      </w:r>
      <w:r w:rsidR="00E07A75">
        <w:rPr>
          <w:rFonts w:ascii="Tahoma" w:eastAsia="Times New Roman" w:hAnsi="Tahoma" w:cs="Tahoma"/>
          <w:bCs/>
          <w:sz w:val="18"/>
          <w:szCs w:val="18"/>
          <w:lang w:eastAsia="es-ES"/>
        </w:rPr>
        <w:t xml:space="preserve">Se expiden </w:t>
      </w:r>
      <w:r w:rsidR="00E07A75" w:rsidRPr="00E07A75">
        <w:rPr>
          <w:rFonts w:ascii="Tahoma" w:eastAsia="Times New Roman" w:hAnsi="Tahoma" w:cs="Tahoma"/>
          <w:bCs/>
          <w:sz w:val="18"/>
          <w:szCs w:val="18"/>
          <w:lang w:eastAsia="es-ES"/>
        </w:rPr>
        <w:t>las normas para la aplicación del régimen de comisionistas y similares para el cálculo del anticipo del impuesto a la renta </w:t>
      </w:r>
    </w:p>
    <w:p w:rsidR="00BF5CA9" w:rsidRDefault="00BF5CA9" w:rsidP="00CA445F">
      <w:pPr>
        <w:spacing w:after="0" w:line="240" w:lineRule="auto"/>
        <w:jc w:val="center"/>
        <w:rPr>
          <w:rFonts w:ascii="Arial" w:eastAsia="Times New Roman" w:hAnsi="Arial" w:cs="Arial"/>
          <w:color w:val="000000"/>
          <w:sz w:val="27"/>
          <w:szCs w:val="27"/>
          <w:lang w:eastAsia="es-ES"/>
        </w:rPr>
      </w:pPr>
    </w:p>
    <w:p w:rsidR="00D1320E" w:rsidRDefault="00D1320E" w:rsidP="00E07A75">
      <w:pPr>
        <w:spacing w:after="0" w:line="240" w:lineRule="auto"/>
        <w:jc w:val="center"/>
        <w:rPr>
          <w:rFonts w:ascii="Tahoma" w:eastAsia="Times New Roman" w:hAnsi="Tahoma" w:cs="Tahoma"/>
          <w:b/>
          <w:bCs/>
          <w:color w:val="000000"/>
          <w:sz w:val="12"/>
          <w:szCs w:val="12"/>
          <w:shd w:val="clear" w:color="auto" w:fill="FFFFFF"/>
          <w:lang w:eastAsia="es-ES"/>
        </w:rPr>
        <w:sectPr w:rsidR="00D1320E" w:rsidSect="00D1320E">
          <w:headerReference w:type="default" r:id="rId13"/>
          <w:footerReference w:type="default" r:id="rId14"/>
          <w:type w:val="continuous"/>
          <w:pgSz w:w="11906" w:h="16838"/>
          <w:pgMar w:top="1134" w:right="849" w:bottom="567" w:left="1276" w:header="708" w:footer="563" w:gutter="0"/>
          <w:cols w:space="425"/>
          <w:docGrid w:linePitch="360"/>
        </w:sectPr>
      </w:pPr>
    </w:p>
    <w:p w:rsidR="00E07A75" w:rsidRPr="00D1320E" w:rsidRDefault="00E07A75" w:rsidP="00E07A75">
      <w:pPr>
        <w:spacing w:after="0" w:line="240" w:lineRule="auto"/>
        <w:jc w:val="center"/>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b/>
          <w:bCs/>
          <w:color w:val="000000"/>
          <w:sz w:val="12"/>
          <w:szCs w:val="12"/>
          <w:shd w:val="clear" w:color="auto" w:fill="FFFFFF"/>
          <w:lang w:eastAsia="es-ES"/>
        </w:rPr>
        <w:lastRenderedPageBreak/>
        <w:t>Considerando: </w:t>
      </w:r>
      <w:r w:rsidRPr="00D1320E">
        <w:rPr>
          <w:rFonts w:ascii="Tahoma" w:eastAsia="Times New Roman" w:hAnsi="Tahoma" w:cs="Tahoma"/>
          <w:b/>
          <w:bCs/>
          <w:color w:val="000000"/>
          <w:sz w:val="12"/>
          <w:szCs w:val="12"/>
          <w:shd w:val="clear" w:color="auto" w:fill="FFFFFF"/>
          <w:lang w:eastAsia="es-ES"/>
        </w:rPr>
        <w:br/>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t>Que el artículo 83 de la Constitución de la República del Ecuador señala que son deberes y responsabilidades de los habitantes del Ecuador acatar y cumplir con la Constitución, la ley y las decisiones legítimas de autoridad competente y pagar los tributos establecidos por ley;</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artículo 226 de la Constitución de la República del Ecuador dispone que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artículo 300 de la Constitución de la República del Ecuador establece que el régimen tributario se regirá por los principios de generalidad, progresividad, eficiencia, simplicidad administrativa, irretroactividad, equidad, transparencia y suficiencia recaudatoria. Se priorizarán los impuestos directos y progresivos;</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artículo 1 de la Ley de Creación del Servicio de Rentas Internas crea el Servicio de Rentas Internas como una entidad técnica y autónoma, con personería jurídica, de derecho público, patrimonio y fondos propios, jurisdicción nacional y sede principal en la ciudad de Quito;</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de acuerdo a lo establecido en el artículo 7 del Código Tributario, en concordancia con el artículo 8 de la Ley de Creación del Servicio de Rentas Internas, es facultad del Director o Directora General del Servicio de Rentas Internas expedir las resoluciones, circulares o disposiciones de carácter general y obligatorio necesarias para la aplicación de las normas legales y reglamentarias;</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conforme lo señala el artículo 73 del Código Tributario, la actuación de la Administración Tributaria deberá desarrollarse con arreglo a los principios de simplificación, celeridad y eficacia;</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número 3 del artículo 3 del Código de Comercio señala que es acto de comercio la comisión o mandato comercial;</w:t>
      </w:r>
    </w:p>
    <w:p w:rsid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artículo 374 del mismo código indica que comisionista es el que ejerce actos de comercio, en su propio nombre, por cuenta de un comitente;</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artículo 17 del Código Tributario señala que cuando el hecho generador consista en un acto jurídico, se calificará conforme a su verdadera esencia y naturaleza jurídica, cualquiera que sea la forma elegida o la denominación utilizada por los interesados. Cuando el hecho generador se delimite atendiendo a conceptos económicos, el criterio para calificarlos tendrá en cuenta las situaciones o relaciones económicas que efectivamente existan o se establezcan por los interesados, con independencia de las formas jurídicas que se utilicen;</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 xml:space="preserve">Que el primer inciso del artículo 19 de la Ley de Régimen Tributario Interno señala que están obligadas a llevar contabilidad y declarar el impuesto en base a los resultados que arroje la misma todas las sociedades. También lo estarán las personas naturales y sucesiones indivisas que al primero de enero operen con un capital o cuyos ingresos brutos o gastos anuales del ejercicio inmediato anterior, sean superiores a los límites </w:t>
      </w:r>
      <w:r w:rsidRPr="00D1320E">
        <w:rPr>
          <w:rFonts w:ascii="Tahoma" w:eastAsia="Times New Roman" w:hAnsi="Tahoma" w:cs="Tahoma"/>
          <w:color w:val="000000"/>
          <w:sz w:val="12"/>
          <w:szCs w:val="12"/>
          <w:shd w:val="clear" w:color="auto" w:fill="FFFFFF"/>
          <w:lang w:eastAsia="es-ES"/>
        </w:rPr>
        <w:lastRenderedPageBreak/>
        <w:t>que en cada caso se establezcan en el Reglamento, incluyendo las personas naturales que desarrollen actividades agrícolas, pecuarias, forestales o similares;</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la letra b) del número 2 del artículo 41 de la Ley de Régimen Tributario Interno señala que las personas naturales y las sucesiones indivisas obligadas a llevar contabilidad y las sociedades deberán determinar en su declaración correspondiente al ejercicio económico anterior, el anticipo a pagarse con cargo al ejercicio fiscal corriente calculando un valor equivalente a la suma matemática de los siguientes rubros: el cero punto dos por ciento (0.2%) del patrimonio total; el cero punto dos por ciento (0.2%) del total de costos y gastos deducibles a efecto del impuesto a la renta; el cero punto cuatro por ciento (0.4%o) del activo total; el cero punto cuatro por ciento (0.4%) del total de ingresos gravables a efecto del impuesto a la renta;</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la letra j) del número 2 del artículo 41 de la Ley de Régimen Tributario Interno establece que las sociedades, así como las sucesiones indivisas y las personas naturales, obligadas a llevar contabilidad, cuyos ingresos se obtengan bajo la modalidad de comisiones o similares, por la comercialización o distribución de bienes y servicios, únicamente para efectos del cálculo del anticipo en esta actividad, considerarán como ingreso gravable exclusivamente el valor de las comisiones o similares percibidas directamente, o a través de descuentos o por márgenes establecidos por terceros; y como costos y gastos deducibles, aquellos distintos al costo de los bienes o servicios ofertados. Para el resto de operaciones de estos contribuyentes, sí se considerará la totalidad de los ingresos gravables y costos y gastos deducibles, provenientes de estas otras operaciones;</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noveno inciso del artículo 76 del Reglamento para la aplicación de la Ley de Régimen Tributario Interno, reformado por el numeral 3 del artículo 24 del Reglamento a la Ley Orgánica de Incentivos a la Producción y Prevención del Fraude Fiscal, señala que para el cálculo del anticipo del impuesto a la renta, se entenderá como actividades similares a las de comisión, a las de distribución al por mayor de bienes o servicios en las que el fabricante o quien le anteceda en la cadena de comercialización, reconozca a sus intermediarios un importe, margen o descuento en el valor de la comercialización por estipulaciones contractuales;</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décimo inciso de la norma reglamentaria en mención indica que para el cálculo del anticipo de impuesto a la renta de comercializadoras y distribuidoras de combustible en el sector automotor, el coeficiente correspondiente al total de ingresos gravables a efecto de impuesto a la renta será reemplazado por el cero punto cuatro por ciento (0.4%) del total del margen de comercialización correspondiente; respecto a los costos y gastos, se tomarán en consideración aquellos distintos al costo de venta del combustible;</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la parte final del mismo inciso señala que el procedimiento para la aplicación del régimen para comisionistas o similares se establecerá mediante resolución de carácter general;</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es deber de la Administración Tributaria a través de la Directora o Director General del Servicio de Rentas Internas expedir las normas necesarias para facilitar a los contribuyentes el cumplimiento de sus obligaciones tributarias y deberes formales, en particular de la declaración del impuesto a la renta por el ejercicio fiscal 2015 y siguientes, de conformidad con la Ley Orgánica de Incentivos a la Producción y Prevención del Fraude Fiscal y su reglamento y,</w:t>
      </w:r>
    </w:p>
    <w:p w:rsidR="00AF0448"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lastRenderedPageBreak/>
        <w:br/>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t>En ejercicio de sus facultades legales,</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p>
    <w:p w:rsidR="00E07A75" w:rsidRPr="00D1320E" w:rsidRDefault="00E07A75" w:rsidP="00E07A75">
      <w:pPr>
        <w:spacing w:after="0" w:line="240" w:lineRule="auto"/>
        <w:jc w:val="center"/>
        <w:rPr>
          <w:rFonts w:ascii="Tahoma" w:eastAsia="Times New Roman" w:hAnsi="Tahoma" w:cs="Tahoma"/>
          <w:b/>
          <w:bCs/>
          <w:color w:val="000000"/>
          <w:sz w:val="12"/>
          <w:szCs w:val="12"/>
          <w:shd w:val="clear" w:color="auto" w:fill="FFFFFF"/>
          <w:lang w:eastAsia="es-ES"/>
        </w:rPr>
      </w:pPr>
      <w:r w:rsidRPr="00D1320E">
        <w:rPr>
          <w:rFonts w:ascii="Tahoma" w:eastAsia="Times New Roman" w:hAnsi="Tahoma" w:cs="Tahoma"/>
          <w:b/>
          <w:bCs/>
          <w:color w:val="000000"/>
          <w:sz w:val="12"/>
          <w:szCs w:val="12"/>
          <w:shd w:val="clear" w:color="auto" w:fill="FFFFFF"/>
          <w:lang w:eastAsia="es-ES"/>
        </w:rPr>
        <w:t>Resuelve:</w:t>
      </w:r>
    </w:p>
    <w:p w:rsidR="00E07A75" w:rsidRPr="00D1320E" w:rsidRDefault="00E07A75" w:rsidP="00E07A75">
      <w:pPr>
        <w:spacing w:after="0" w:line="240" w:lineRule="auto"/>
        <w:jc w:val="both"/>
        <w:rPr>
          <w:rFonts w:ascii="Tahoma" w:eastAsia="Times New Roman" w:hAnsi="Tahoma" w:cs="Tahoma"/>
          <w:b/>
          <w:bCs/>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Expedir las normas para la aplicación del régimen de comisionistas y similares para el cálculo del anticipo del impuesto a la renta</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1.- Ámbito de aplicación.- </w:t>
      </w:r>
      <w:r w:rsidRPr="00D1320E">
        <w:rPr>
          <w:rFonts w:ascii="Tahoma" w:eastAsia="Times New Roman" w:hAnsi="Tahoma" w:cs="Tahoma"/>
          <w:color w:val="000000"/>
          <w:sz w:val="12"/>
          <w:szCs w:val="12"/>
          <w:shd w:val="clear" w:color="auto" w:fill="FFFFFF"/>
          <w:lang w:eastAsia="es-ES"/>
        </w:rPr>
        <w:t>Establézcanse las normas para el cálculo del anticipo del impuesto a la renta para sucesiones indivisas, personas naturales obligadas a llevar contabilidad y sociedades, cuyo giro ordinario del negocio consista en la comercialización o distribución de bienes o servicios bajo la modalidad de comisiones y similares. Se exceptúa de este ámbito a las comercializadoras y distribuidoras de combustible en el sector automotor, quienes tienen su propio régimen de cálculo del anticipo del impuesto a la renta señalado en el Reglamento para la aplicación de la Ley de Régimen Tributario Interno.</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2.- Definiciones.- </w:t>
      </w:r>
      <w:r w:rsidRPr="00D1320E">
        <w:rPr>
          <w:rFonts w:ascii="Tahoma" w:eastAsia="Times New Roman" w:hAnsi="Tahoma" w:cs="Tahoma"/>
          <w:color w:val="000000"/>
          <w:sz w:val="12"/>
          <w:szCs w:val="12"/>
          <w:shd w:val="clear" w:color="auto" w:fill="FFFFFF"/>
          <w:lang w:eastAsia="es-ES"/>
        </w:rPr>
        <w:t>Como regla general, se considerarán comisionistas a quienes no estén expuestos, en esencia económica, a los riesgos y ventajas significativos asociados con la venta de bienes o la prestación de servicios.</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t>Una vez cumplida la regla general, los supuestos en los que podría encontrarse el comisionista son los siguientes:</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a) Que no tengan el riesgo del inventario ni antes ni después de la venta.</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b) Que no puedan fijar precios para los bienes o servicios del comitente o principal.</w:t>
      </w: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color w:val="000000"/>
          <w:sz w:val="12"/>
          <w:szCs w:val="12"/>
          <w:shd w:val="clear" w:color="auto" w:fill="FFFFFF"/>
          <w:lang w:eastAsia="es-ES"/>
        </w:rPr>
        <w:br/>
        <w:t>c) Que no estén expuestos al riesgo de crédito por la venta.</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Para efectos de control tributario, el Servicio de Rentas Internas verificará la existencia de un contrato escrito, de conformidad con las reglas señaladas en el Código Civil, en el que, además de identificar la regla general señalada en el primer inciso, se estipule el importe, margen, descuento o cualquier otro beneficio que el fabricante o prestador del servicio o quien le anteceda en la cadena de comercialización, conceda al comisionista, dando mayor valor a la sustancia económica sobre las formas jurídicas utilizadas en dicho contrato.</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3.- Emisión de comprobantes de venta.- </w:t>
      </w:r>
      <w:r w:rsidRPr="00D1320E">
        <w:rPr>
          <w:rFonts w:ascii="Tahoma" w:eastAsia="Times New Roman" w:hAnsi="Tahoma" w:cs="Tahoma"/>
          <w:color w:val="000000"/>
          <w:sz w:val="12"/>
          <w:szCs w:val="12"/>
          <w:shd w:val="clear" w:color="auto" w:fill="FFFFFF"/>
          <w:lang w:eastAsia="es-ES"/>
        </w:rPr>
        <w:t>El fabricante o prestador del servicio, o quien anteceda en la cadena de comercialización, podrá emitir los comprobantes de venta por medio de los establecimientos de sus comisionistas, consignándose en la descripción de dicho comprobante, el número de RUC del comisionista y el código de establecimiento por medio del cual se realice la transacción. En el caso mencionado, el comisionista emitirá el correspondiente comprobante de venta al fabricante o prestador del servicio, o a quien le anteceda en la cadena de comercialización, que sea establecido o residente en el Ecuador, en el que detallará el importe de la comisión o beneficio, calculando sobre dicho valor el IVA que corresponda.</w:t>
      </w:r>
    </w:p>
    <w:p w:rsidR="00E07A75" w:rsidRPr="00D1320E" w:rsidRDefault="00D1320E"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hAnsi="Tahoma" w:cs="Tahoma"/>
          <w:b/>
          <w:bCs/>
          <w:noProof/>
          <w:color w:val="000000"/>
          <w:sz w:val="12"/>
          <w:szCs w:val="12"/>
          <w:shd w:val="clear" w:color="auto" w:fill="FFFFFF"/>
          <w:lang w:val="es-EC" w:eastAsia="es-EC"/>
        </w:rPr>
        <w:drawing>
          <wp:anchor distT="0" distB="0" distL="114300" distR="114300" simplePos="0" relativeHeight="251668480" behindDoc="1" locked="0" layoutInCell="1" allowOverlap="1" wp14:anchorId="051FB195" wp14:editId="2BEC537B">
            <wp:simplePos x="0" y="0"/>
            <wp:positionH relativeFrom="column">
              <wp:posOffset>3664585</wp:posOffset>
            </wp:positionH>
            <wp:positionV relativeFrom="paragraph">
              <wp:posOffset>240030</wp:posOffset>
            </wp:positionV>
            <wp:extent cx="2197100" cy="803910"/>
            <wp:effectExtent l="0" t="0" r="0" b="0"/>
            <wp:wrapTight wrapText="bothSides">
              <wp:wrapPolygon edited="0">
                <wp:start x="0" y="0"/>
                <wp:lineTo x="0" y="20986"/>
                <wp:lineTo x="21350" y="20986"/>
                <wp:lineTo x="2135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ORTUNIDADES-FINANCIERAS.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97100" cy="803910"/>
                    </a:xfrm>
                    <a:prstGeom prst="rect">
                      <a:avLst/>
                    </a:prstGeom>
                  </pic:spPr>
                </pic:pic>
              </a:graphicData>
            </a:graphic>
            <wp14:sizeRelH relativeFrom="page">
              <wp14:pctWidth>0</wp14:pctWidth>
            </wp14:sizeRelH>
            <wp14:sizeRelV relativeFrom="page">
              <wp14:pctHeight>0</wp14:pctHeight>
            </wp14:sizeRelV>
          </wp:anchor>
        </w:drawing>
      </w:r>
      <w:r w:rsidR="00E07A75" w:rsidRPr="00D1320E">
        <w:rPr>
          <w:rFonts w:ascii="Tahoma" w:eastAsia="Times New Roman" w:hAnsi="Tahoma" w:cs="Tahoma"/>
          <w:color w:val="000000"/>
          <w:sz w:val="12"/>
          <w:szCs w:val="12"/>
          <w:shd w:val="clear" w:color="auto" w:fill="FFFFFF"/>
          <w:lang w:eastAsia="es-ES"/>
        </w:rPr>
        <w:br/>
      </w:r>
      <w:r w:rsidR="00E07A75" w:rsidRPr="00D1320E">
        <w:rPr>
          <w:rFonts w:ascii="Tahoma" w:eastAsia="Times New Roman" w:hAnsi="Tahoma" w:cs="Tahoma"/>
          <w:b/>
          <w:bCs/>
          <w:color w:val="000000"/>
          <w:sz w:val="12"/>
          <w:szCs w:val="12"/>
          <w:shd w:val="clear" w:color="auto" w:fill="FFFFFF"/>
          <w:lang w:eastAsia="es-ES"/>
        </w:rPr>
        <w:t>Artículo 4. - Reconocimiento del ingreso. </w:t>
      </w:r>
      <w:r w:rsidR="00E07A75" w:rsidRPr="00D1320E">
        <w:rPr>
          <w:rFonts w:ascii="Tahoma" w:eastAsia="Times New Roman" w:hAnsi="Tahoma" w:cs="Tahoma"/>
          <w:color w:val="000000"/>
          <w:sz w:val="12"/>
          <w:szCs w:val="12"/>
          <w:shd w:val="clear" w:color="auto" w:fill="FFFFFF"/>
          <w:lang w:eastAsia="es-ES"/>
        </w:rPr>
        <w:t xml:space="preserve">- De conformidad con la técnica contable, los ingresos de los comisionistas constituirán únicamente los valores por comisiones obtenidos directamente, o por medio de descuentos o por márgenes establecidos por terceros, los cuales deberán registrarse en la casilla de "INGRESOS OBTENIDOS BAJO LA MODALIDAD DE COMISIONES" del formulario 101 o 102, según el caso. Por lo tanto, los valores que paguen los clientes a los comisionistas a cuenta del fabricante o prestador del servicio, o de quien le anteceda en la cadena de </w:t>
      </w:r>
      <w:r w:rsidR="00E07A75" w:rsidRPr="00D1320E">
        <w:rPr>
          <w:rFonts w:ascii="Tahoma" w:eastAsia="Times New Roman" w:hAnsi="Tahoma" w:cs="Tahoma"/>
          <w:color w:val="000000"/>
          <w:sz w:val="12"/>
          <w:szCs w:val="12"/>
          <w:shd w:val="clear" w:color="auto" w:fill="FFFFFF"/>
          <w:lang w:eastAsia="es-ES"/>
        </w:rPr>
        <w:lastRenderedPageBreak/>
        <w:t>comercialización, constituirán un pasivo para el comisionista y no un ingreso para el mismo.</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En caso que el comisionista haya emitido a sus clientes comprobantes de venta por la totalidad de las operaciones, tales valores se registrarán en las casillas "MONTO TOTAL FACTURADO POR COMISIONISTAS (RELACIONES DE AGENCIA) (INFORMATIVO)" del formulario 101.</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5.- Costos </w:t>
      </w:r>
      <w:r w:rsidRPr="00D1320E">
        <w:rPr>
          <w:rFonts w:ascii="Tahoma" w:eastAsia="Times New Roman" w:hAnsi="Tahoma" w:cs="Tahoma"/>
          <w:color w:val="000000"/>
          <w:sz w:val="12"/>
          <w:szCs w:val="12"/>
          <w:shd w:val="clear" w:color="auto" w:fill="FFFFFF"/>
          <w:lang w:eastAsia="es-ES"/>
        </w:rPr>
        <w:t>y </w:t>
      </w:r>
      <w:r w:rsidRPr="00D1320E">
        <w:rPr>
          <w:rFonts w:ascii="Tahoma" w:eastAsia="Times New Roman" w:hAnsi="Tahoma" w:cs="Tahoma"/>
          <w:b/>
          <w:bCs/>
          <w:color w:val="000000"/>
          <w:sz w:val="12"/>
          <w:szCs w:val="12"/>
          <w:shd w:val="clear" w:color="auto" w:fill="FFFFFF"/>
          <w:lang w:eastAsia="es-ES"/>
        </w:rPr>
        <w:t>gastos.- </w:t>
      </w:r>
      <w:r w:rsidRPr="00D1320E">
        <w:rPr>
          <w:rFonts w:ascii="Tahoma" w:eastAsia="Times New Roman" w:hAnsi="Tahoma" w:cs="Tahoma"/>
          <w:color w:val="000000"/>
          <w:sz w:val="12"/>
          <w:szCs w:val="12"/>
          <w:shd w:val="clear" w:color="auto" w:fill="FFFFFF"/>
          <w:lang w:eastAsia="es-ES"/>
        </w:rPr>
        <w:t>De conformidad con la técnica contable, los costos y gastos de los comisionistas no comprenden el costo de los bienes o servicios ofertados en razón de la comisión.</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6.- Cálculo del anticipo del impuesto a la renta.- </w:t>
      </w:r>
      <w:r w:rsidRPr="00D1320E">
        <w:rPr>
          <w:rFonts w:ascii="Tahoma" w:eastAsia="Times New Roman" w:hAnsi="Tahoma" w:cs="Tahoma"/>
          <w:color w:val="000000"/>
          <w:sz w:val="12"/>
          <w:szCs w:val="12"/>
          <w:shd w:val="clear" w:color="auto" w:fill="FFFFFF"/>
          <w:lang w:eastAsia="es-ES"/>
        </w:rPr>
        <w:t>Para efectos del cálculo del anticipo del impuesto a la renta, además de los rubros señalados en los artículos 4 y 5 de la presente resolución, deberán considerarse los demás ingresos gravados y otros costos y gastos deducibles de conformidad con la normativa tributaria vigente, incluyendo los provenientes de otras operaciones o actividades económicas que mantenga el contribuyente, los cuales se declararán en las casillas correspondientes del formulario de impuesto a la renta respectivo.</w:t>
      </w:r>
    </w:p>
    <w:p w:rsid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7.- Tratamiento para actividades similares a la de comisionista.- </w:t>
      </w:r>
      <w:r w:rsidRPr="00D1320E">
        <w:rPr>
          <w:rFonts w:ascii="Tahoma" w:eastAsia="Times New Roman" w:hAnsi="Tahoma" w:cs="Tahoma"/>
          <w:color w:val="000000"/>
          <w:sz w:val="12"/>
          <w:szCs w:val="12"/>
          <w:shd w:val="clear" w:color="auto" w:fill="FFFFFF"/>
          <w:lang w:eastAsia="es-ES"/>
        </w:rPr>
        <w:t>De conformidad con el reglamento, se entenderá como actividades similares a las de comisión a las realizadas por aquel operador económico que se dedique exclusivamente a la distribución al por mayor de bienes o servicios, que no realice ventas directas a consumidores finales, que los bienes o servicios distribuidos hayan sido producidos o prestados originalmente por sujetos pasivos establecidos o residentes en el Ecuador y que el fabricante o prestador del servicio o quien le anteceda en la cadena de comercialización sea establecido o residente en el Ecuador y le reconozca un importe, margen o descuento en el valor de la comercialización.</w:t>
      </w:r>
    </w:p>
    <w:p w:rsid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Cuando el sujeto pasivo que realice las actividades similares a las de comisión mantenga un alto índice de rotación de inventarios y un margen de utilidad bruta bajo con relación al volumen de ventas, el cálculo del anticipo no considerará el rubro del total de ingresos gravables, sino que directamente utilizará el 0.4% sobre su margen de utilidad bruta; respecto a los costos y gastos, se tomarán en consideración aquellos distintos al costo de venta. Además deberá tomar en cuenta el activo total y el patrimonio total registrados en su contabilidad para el cálculo del anticipo del impuesto a la renta de conformidad con la Ley de Régimen Tributario Interno.</w:t>
      </w:r>
    </w:p>
    <w:p w:rsidR="00E07A75" w:rsidRP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DISPOSICIÓN TRANSITORIA ÚNICA- </w:t>
      </w:r>
      <w:r w:rsidRPr="00D1320E">
        <w:rPr>
          <w:rFonts w:ascii="Tahoma" w:eastAsia="Times New Roman" w:hAnsi="Tahoma" w:cs="Tahoma"/>
          <w:color w:val="000000"/>
          <w:sz w:val="12"/>
          <w:szCs w:val="12"/>
          <w:shd w:val="clear" w:color="auto" w:fill="FFFFFF"/>
          <w:lang w:eastAsia="es-ES"/>
        </w:rPr>
        <w:t xml:space="preserve">Para el ejercicio fiscal 2015, los sujetos pasivos que no operen bajo la modalidad de comisionista o similar conforme la regla general establecida en el artículo 2 y de lo establecido en el artículo 7 de la presente resolución, y que hayan calculado un valor del anticipo del impuesto a la renta al amparo de lo señalado en la letra j) del número 2 del artículo 41 de la Ley de Régimen Tributario Interno, deberán </w:t>
      </w:r>
      <w:proofErr w:type="spellStart"/>
      <w:r w:rsidRPr="00D1320E">
        <w:rPr>
          <w:rFonts w:ascii="Tahoma" w:eastAsia="Times New Roman" w:hAnsi="Tahoma" w:cs="Tahoma"/>
          <w:color w:val="000000"/>
          <w:sz w:val="12"/>
          <w:szCs w:val="12"/>
          <w:shd w:val="clear" w:color="auto" w:fill="FFFFFF"/>
          <w:lang w:eastAsia="es-ES"/>
        </w:rPr>
        <w:t>reliquidar</w:t>
      </w:r>
      <w:proofErr w:type="spellEnd"/>
      <w:r w:rsidRPr="00D1320E">
        <w:rPr>
          <w:rFonts w:ascii="Tahoma" w:eastAsia="Times New Roman" w:hAnsi="Tahoma" w:cs="Tahoma"/>
          <w:color w:val="000000"/>
          <w:sz w:val="12"/>
          <w:szCs w:val="12"/>
          <w:shd w:val="clear" w:color="auto" w:fill="FFFFFF"/>
          <w:lang w:eastAsia="es-ES"/>
        </w:rPr>
        <w:t xml:space="preserve"> dicho anticipo de conformidad con las reglas generales establecidas en la letra b) del último artículo mencionado. Esta Administración Tributaria, en ejercicio de sus facultades legalmente establecidas, podrá verificar el cumplimiento de lo señalado en el presente acto normativo.</w:t>
      </w:r>
    </w:p>
    <w:p w:rsidR="00D1320E" w:rsidRDefault="00E07A75" w:rsidP="00E07A75">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Disposición final.- </w:t>
      </w:r>
      <w:r w:rsidRPr="00D1320E">
        <w:rPr>
          <w:rFonts w:ascii="Tahoma" w:eastAsia="Times New Roman" w:hAnsi="Tahoma" w:cs="Tahoma"/>
          <w:color w:val="000000"/>
          <w:sz w:val="12"/>
          <w:szCs w:val="12"/>
          <w:shd w:val="clear" w:color="auto" w:fill="FFFFFF"/>
          <w:lang w:eastAsia="es-ES"/>
        </w:rPr>
        <w:t>La presente resolución entrará en vigencia a partir del día siguiente al de su publicación en el Registro Oficial.</w:t>
      </w:r>
    </w:p>
    <w:p w:rsidR="00D1320E" w:rsidRDefault="00D1320E" w:rsidP="00E07A75">
      <w:pPr>
        <w:spacing w:after="0" w:line="240" w:lineRule="auto"/>
        <w:jc w:val="both"/>
        <w:rPr>
          <w:rFonts w:ascii="Tahoma" w:eastAsia="Times New Roman" w:hAnsi="Tahoma" w:cs="Tahoma"/>
          <w:color w:val="000000"/>
          <w:sz w:val="12"/>
          <w:szCs w:val="12"/>
          <w:shd w:val="clear" w:color="auto" w:fill="FFFFFF"/>
          <w:lang w:eastAsia="es-ES"/>
        </w:rPr>
        <w:sectPr w:rsidR="00D1320E" w:rsidSect="00D1320E">
          <w:type w:val="continuous"/>
          <w:pgSz w:w="11906" w:h="16838"/>
          <w:pgMar w:top="1134" w:right="849" w:bottom="567" w:left="1276" w:header="708" w:footer="563" w:gutter="0"/>
          <w:cols w:num="2" w:space="425"/>
          <w:docGrid w:linePitch="360"/>
        </w:sectPr>
      </w:pPr>
    </w:p>
    <w:p w:rsidR="00D1320E" w:rsidRDefault="00D1320E" w:rsidP="00E07A75">
      <w:pPr>
        <w:spacing w:after="0" w:line="240" w:lineRule="auto"/>
        <w:jc w:val="both"/>
        <w:rPr>
          <w:rFonts w:ascii="Tahoma" w:eastAsia="Times New Roman" w:hAnsi="Tahoma" w:cs="Tahoma"/>
          <w:color w:val="000000"/>
          <w:sz w:val="12"/>
          <w:szCs w:val="12"/>
          <w:shd w:val="clear" w:color="auto" w:fill="FFFFFF"/>
          <w:lang w:eastAsia="es-ES"/>
        </w:rPr>
      </w:pPr>
    </w:p>
    <w:bookmarkEnd w:id="0"/>
    <w:p w:rsidR="00D1320E" w:rsidRDefault="00D1320E" w:rsidP="00D1320E">
      <w:pPr>
        <w:rPr>
          <w:rFonts w:ascii="Tahoma" w:eastAsia="Times New Roman" w:hAnsi="Tahoma" w:cs="Tahoma"/>
          <w:b/>
          <w:bCs/>
          <w:color w:val="FFFFFF" w:themeColor="background1"/>
          <w:sz w:val="24"/>
          <w:szCs w:val="16"/>
          <w:lang w:eastAsia="es-ES"/>
        </w:rPr>
      </w:pPr>
    </w:p>
    <w:p w:rsidR="00D1320E" w:rsidRDefault="00D1320E" w:rsidP="00D1320E">
      <w:pPr>
        <w:rPr>
          <w:rFonts w:ascii="Tahoma" w:eastAsia="Times New Roman" w:hAnsi="Tahoma" w:cs="Tahoma"/>
          <w:b/>
          <w:bCs/>
          <w:color w:val="FFFFFF" w:themeColor="background1"/>
          <w:sz w:val="24"/>
          <w:szCs w:val="16"/>
          <w:lang w:eastAsia="es-ES"/>
        </w:rPr>
      </w:pPr>
      <w:r w:rsidRPr="005B5D4F">
        <w:rPr>
          <w:rFonts w:ascii="Tahoma" w:eastAsia="Times New Roman" w:hAnsi="Tahoma" w:cs="Tahoma"/>
          <w:b/>
          <w:bCs/>
          <w:noProof/>
          <w:color w:val="FFFFFF" w:themeColor="background1"/>
          <w:sz w:val="24"/>
          <w:szCs w:val="16"/>
          <w:lang w:val="es-EC" w:eastAsia="es-EC"/>
        </w:rPr>
        <mc:AlternateContent>
          <mc:Choice Requires="wps">
            <w:drawing>
              <wp:anchor distT="0" distB="0" distL="114300" distR="114300" simplePos="0" relativeHeight="251670528" behindDoc="1" locked="0" layoutInCell="1" allowOverlap="1" wp14:anchorId="244B71EC" wp14:editId="7D5E3536">
                <wp:simplePos x="0" y="0"/>
                <wp:positionH relativeFrom="column">
                  <wp:posOffset>-951230</wp:posOffset>
                </wp:positionH>
                <wp:positionV relativeFrom="paragraph">
                  <wp:posOffset>294801</wp:posOffset>
                </wp:positionV>
                <wp:extent cx="7012940" cy="285750"/>
                <wp:effectExtent l="57150" t="19050" r="73660" b="95250"/>
                <wp:wrapNone/>
                <wp:docPr id="4" name="Rounded Rectangle 4"/>
                <wp:cNvGraphicFramePr/>
                <a:graphic xmlns:a="http://schemas.openxmlformats.org/drawingml/2006/main">
                  <a:graphicData uri="http://schemas.microsoft.com/office/word/2010/wordprocessingShape">
                    <wps:wsp>
                      <wps:cNvSpPr/>
                      <wps:spPr>
                        <a:xfrm>
                          <a:off x="0" y="0"/>
                          <a:ext cx="7012940" cy="28575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26" style="position:absolute;margin-left:-74.9pt;margin-top:23.2pt;width:552.2pt;height: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D1320E" w:rsidRPr="00D1320E" w:rsidRDefault="00D1320E" w:rsidP="00D1320E">
      <w:pPr>
        <w:rPr>
          <w:rFonts w:ascii="Tahoma" w:eastAsia="Times New Roman" w:hAnsi="Tahoma" w:cs="Tahoma"/>
          <w:b/>
          <w:bCs/>
          <w:color w:val="FFFFFF" w:themeColor="background1"/>
          <w:sz w:val="24"/>
          <w:szCs w:val="16"/>
          <w:lang w:eastAsia="es-ES"/>
        </w:rPr>
      </w:pPr>
      <w:r w:rsidRPr="00D1320E">
        <w:rPr>
          <w:rFonts w:ascii="Tahoma" w:eastAsia="Times New Roman" w:hAnsi="Tahoma" w:cs="Tahoma"/>
          <w:b/>
          <w:bCs/>
          <w:color w:val="FFFFFF" w:themeColor="background1"/>
          <w:sz w:val="24"/>
          <w:szCs w:val="16"/>
          <w:lang w:eastAsia="es-ES"/>
        </w:rPr>
        <w:t>Dirección de Registros de Datos Públicos</w:t>
      </w:r>
    </w:p>
    <w:p w:rsidR="00AF0448" w:rsidRPr="00AF0448" w:rsidRDefault="00AF0448" w:rsidP="00AF0448">
      <w:pPr>
        <w:pStyle w:val="Prrafodelista"/>
        <w:spacing w:after="0" w:line="240" w:lineRule="auto"/>
        <w:ind w:left="360"/>
        <w:rPr>
          <w:rFonts w:ascii="Tahoma" w:hAnsi="Tahoma" w:cs="Tahoma"/>
          <w:b/>
          <w:bCs/>
          <w:color w:val="000000"/>
          <w:sz w:val="12"/>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D1320E" w:rsidRPr="00E07A75" w:rsidRDefault="00D1320E" w:rsidP="00D1320E">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97165A">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712</w:t>
      </w:r>
      <w:r w:rsidRPr="00E07A75">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Martes 15</w:t>
      </w:r>
      <w:r w:rsidRPr="00E07A75">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de Marzo de 2016</w:t>
      </w:r>
    </w:p>
    <w:p w:rsidR="00D1320E" w:rsidRPr="00D1320E" w:rsidRDefault="00D1320E" w:rsidP="00D1320E">
      <w:pPr>
        <w:spacing w:after="0" w:line="240" w:lineRule="auto"/>
        <w:jc w:val="center"/>
        <w:rPr>
          <w:rFonts w:ascii="Arial" w:eastAsia="Times New Roman" w:hAnsi="Arial" w:cs="Arial"/>
          <w:color w:val="000000"/>
          <w:sz w:val="20"/>
          <w:szCs w:val="27"/>
          <w:lang w:eastAsia="es-ES"/>
        </w:rPr>
      </w:pPr>
    </w:p>
    <w:p w:rsidR="00D1320E" w:rsidRDefault="00D1320E" w:rsidP="00E07A75">
      <w:pPr>
        <w:spacing w:after="0" w:line="240" w:lineRule="auto"/>
        <w:jc w:val="both"/>
        <w:rPr>
          <w:rFonts w:ascii="Tahoma" w:eastAsia="Times New Roman" w:hAnsi="Tahoma" w:cs="Tahoma"/>
          <w:color w:val="000000"/>
          <w:sz w:val="14"/>
          <w:szCs w:val="14"/>
          <w:shd w:val="clear" w:color="auto" w:fill="FFFFFF"/>
          <w:lang w:eastAsia="es-ES"/>
        </w:rPr>
        <w:sectPr w:rsidR="00D1320E" w:rsidSect="00D1320E">
          <w:type w:val="continuous"/>
          <w:pgSz w:w="11906" w:h="16838"/>
          <w:pgMar w:top="1134" w:right="849" w:bottom="567" w:left="1276" w:header="708" w:footer="563" w:gutter="0"/>
          <w:cols w:space="425"/>
          <w:docGrid w:linePitch="360"/>
        </w:sectPr>
      </w:pPr>
    </w:p>
    <w:p w:rsidR="00D1320E" w:rsidRPr="00D1320E" w:rsidRDefault="00D1320E" w:rsidP="00D1320E">
      <w:pPr>
        <w:pStyle w:val="Prrafodelista"/>
        <w:numPr>
          <w:ilvl w:val="0"/>
          <w:numId w:val="15"/>
        </w:numPr>
        <w:spacing w:after="0" w:line="240" w:lineRule="auto"/>
        <w:rPr>
          <w:rFonts w:ascii="Tahoma" w:eastAsia="Times New Roman" w:hAnsi="Tahoma" w:cs="Tahoma"/>
          <w:bCs/>
          <w:sz w:val="18"/>
          <w:szCs w:val="18"/>
          <w:lang w:eastAsia="es-ES"/>
        </w:rPr>
      </w:pPr>
      <w:r w:rsidRPr="00D1320E">
        <w:rPr>
          <w:rFonts w:ascii="Tahoma" w:eastAsia="Times New Roman" w:hAnsi="Tahoma" w:cs="Tahoma"/>
          <w:b/>
          <w:color w:val="0070C0"/>
          <w:sz w:val="18"/>
          <w:szCs w:val="18"/>
          <w:lang w:eastAsia="es-ES"/>
        </w:rPr>
        <w:lastRenderedPageBreak/>
        <w:t>Resolución No. 002-NG-DINARDAP-2016:</w:t>
      </w:r>
      <w:r w:rsidRPr="00D1320E">
        <w:rPr>
          <w:rFonts w:ascii="Tahoma" w:eastAsia="Times New Roman" w:hAnsi="Tahoma" w:cs="Tahoma"/>
          <w:color w:val="0070C0"/>
          <w:sz w:val="18"/>
          <w:szCs w:val="18"/>
          <w:lang w:eastAsia="es-ES"/>
        </w:rPr>
        <w:t xml:space="preserve"> </w:t>
      </w:r>
      <w:r w:rsidRPr="00D1320E">
        <w:rPr>
          <w:rFonts w:ascii="Tahoma" w:eastAsia="Times New Roman" w:hAnsi="Tahoma" w:cs="Tahoma"/>
          <w:bCs/>
          <w:sz w:val="18"/>
          <w:szCs w:val="18"/>
          <w:lang w:eastAsia="es-ES"/>
        </w:rPr>
        <w:t>Se expide la tabla de aranceles de los servicios registrales mercantiles a nivel nacional.</w:t>
      </w:r>
    </w:p>
    <w:p w:rsidR="00D1320E" w:rsidRPr="00D1320E" w:rsidRDefault="00AF0448">
      <w:pPr>
        <w:spacing w:after="0" w:line="240" w:lineRule="auto"/>
        <w:rPr>
          <w:rFonts w:ascii="Tahoma" w:eastAsia="Times New Roman" w:hAnsi="Tahoma" w:cs="Tahoma"/>
          <w:b/>
          <w:bCs/>
          <w:color w:val="FFFFFF" w:themeColor="background1"/>
          <w:sz w:val="24"/>
          <w:szCs w:val="16"/>
          <w:lang w:eastAsia="es-ES"/>
        </w:rPr>
      </w:pPr>
      <w:r>
        <w:rPr>
          <w:noProof/>
          <w:lang w:val="es-EC" w:eastAsia="es-EC"/>
        </w:rPr>
        <w:drawing>
          <wp:anchor distT="0" distB="0" distL="114300" distR="114300" simplePos="0" relativeHeight="251671552" behindDoc="1" locked="0" layoutInCell="1" allowOverlap="1" wp14:anchorId="2129E8E7" wp14:editId="5FD89FB0">
            <wp:simplePos x="0" y="0"/>
            <wp:positionH relativeFrom="column">
              <wp:posOffset>-810260</wp:posOffset>
            </wp:positionH>
            <wp:positionV relativeFrom="paragraph">
              <wp:posOffset>923925</wp:posOffset>
            </wp:positionV>
            <wp:extent cx="7555865" cy="1875790"/>
            <wp:effectExtent l="0" t="0" r="6985" b="0"/>
            <wp:wrapTight wrapText="bothSides">
              <wp:wrapPolygon edited="0">
                <wp:start x="0" y="0"/>
                <wp:lineTo x="0" y="21278"/>
                <wp:lineTo x="21566" y="21278"/>
                <wp:lineTo x="21566" y="0"/>
                <wp:lineTo x="0" y="0"/>
              </wp:wrapPolygon>
            </wp:wrapTight>
            <wp:docPr id="10" name="Picture 10" descr="C:\Users\Liliana\Documents\SCAN 2015\ENCABEZADO PARA BOLETIN  MARZO 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iliana\Documents\SCAN 2015\ENCABEZADO PARA BOLETIN  MARZO 2016.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555865" cy="187579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D1320E" w:rsidRPr="00D1320E" w:rsidSect="00D1320E">
      <w:type w:val="continuous"/>
      <w:pgSz w:w="11906" w:h="16838"/>
      <w:pgMar w:top="1134" w:right="849" w:bottom="567" w:left="1276" w:header="708" w:footer="563"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B4E" w:rsidRDefault="005C7B4E" w:rsidP="00FA7C89">
      <w:pPr>
        <w:spacing w:after="0" w:line="240" w:lineRule="auto"/>
      </w:pPr>
      <w:r>
        <w:separator/>
      </w:r>
    </w:p>
  </w:endnote>
  <w:endnote w:type="continuationSeparator" w:id="0">
    <w:p w:rsidR="005C7B4E" w:rsidRDefault="005C7B4E"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no Pro Display">
    <w:altName w:val="Times New Roman"/>
    <w:panose1 w:val="00000000000000000000"/>
    <w:charset w:val="00"/>
    <w:family w:val="roman"/>
    <w:notTrueType/>
    <w:pitch w:val="variable"/>
    <w:sig w:usb0="00000001" w:usb1="00000001"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DF8" w:rsidRDefault="00BF3DF8" w:rsidP="00A022A6">
    <w:pPr>
      <w:pStyle w:val="Piedepgina"/>
    </w:pPr>
    <w:r>
      <w:rPr>
        <w:noProof/>
        <w:lang w:val="es-EC" w:eastAsia="es-EC"/>
      </w:rPr>
      <mc:AlternateContent>
        <mc:Choice Requires="wps">
          <w:drawing>
            <wp:anchor distT="0" distB="0" distL="114300" distR="114300" simplePos="0" relativeHeight="251662336" behindDoc="0" locked="0" layoutInCell="0" allowOverlap="1" wp14:anchorId="6C0063E8" wp14:editId="6605A8C0">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0070C0"/>
                              <w:spacing w:val="60"/>
                            </w:rPr>
                            <w:alias w:val="Date"/>
                            <w:id w:val="108323665"/>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BF3DF8" w:rsidRPr="00A75150" w:rsidRDefault="00BF3DF8" w:rsidP="00A022A6">
                              <w:pPr>
                                <w:rPr>
                                  <w:color w:val="0070C0"/>
                                  <w:spacing w:val="60"/>
                                </w:rPr>
                              </w:pPr>
                              <w:proofErr w:type="spellStart"/>
                              <w:r>
                                <w:rPr>
                                  <w:color w:val="0070C0"/>
                                  <w:spacing w:val="60"/>
                                  <w:lang w:val="en-US"/>
                                </w:rPr>
                                <w:t>Soluciones</w:t>
                              </w:r>
                              <w:proofErr w:type="spellEnd"/>
                              <w:r>
                                <w:rPr>
                                  <w:color w:val="0070C0"/>
                                  <w:spacing w:val="60"/>
                                  <w:lang w:val="en-US"/>
                                </w:rPr>
                                <w:t xml:space="preserve"> </w:t>
                              </w:r>
                              <w:proofErr w:type="spellStart"/>
                              <w:r>
                                <w:rPr>
                                  <w:color w:val="0070C0"/>
                                  <w:spacing w:val="60"/>
                                  <w:lang w:val="en-US"/>
                                </w:rPr>
                                <w:t>Contables</w:t>
                              </w:r>
                              <w:proofErr w:type="spellEnd"/>
                              <w:r>
                                <w:rPr>
                                  <w:color w:val="0070C0"/>
                                  <w:spacing w:val="60"/>
                                  <w:lang w:val="en-US"/>
                                </w:rPr>
                                <w:t xml:space="preserve"> y </w:t>
                              </w:r>
                              <w:proofErr w:type="spellStart"/>
                              <w:r>
                                <w:rPr>
                                  <w:color w:val="0070C0"/>
                                  <w:spacing w:val="60"/>
                                  <w:lang w:val="en-US"/>
                                </w:rPr>
                                <w:t>Tributarias</w:t>
                              </w:r>
                              <w:proofErr w:type="spellEnd"/>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28" style="position:absolute;margin-left:0;margin-top:0;width:40.25pt;height:486pt;z-index:251662336;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" o:allowincell="f" filled="f" stroked="f">
              <v:textbox style="layout-flow:vertical;mso-layout-flow-alt:bottom-to-top;mso-fit-shape-to-text:t">
                <w:txbxContent>
                  <w:sdt>
                    <w:sdtPr>
                      <w:rPr>
                        <w:color w:val="0070C0"/>
                        <w:spacing w:val="60"/>
                      </w:rPr>
                      <w:alias w:val="Date"/>
                      <w:id w:val="108323665"/>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BF3DF8" w:rsidRPr="00A75150" w:rsidRDefault="00BF3DF8" w:rsidP="00A022A6">
                        <w:pPr>
                          <w:rPr>
                            <w:color w:val="0070C0"/>
                            <w:spacing w:val="60"/>
                          </w:rPr>
                        </w:pPr>
                        <w:proofErr w:type="spellStart"/>
                        <w:r>
                          <w:rPr>
                            <w:color w:val="0070C0"/>
                            <w:spacing w:val="60"/>
                            <w:lang w:val="en-US"/>
                          </w:rPr>
                          <w:t>Soluciones</w:t>
                        </w:r>
                        <w:proofErr w:type="spellEnd"/>
                        <w:r>
                          <w:rPr>
                            <w:color w:val="0070C0"/>
                            <w:spacing w:val="60"/>
                            <w:lang w:val="en-US"/>
                          </w:rPr>
                          <w:t xml:space="preserve"> </w:t>
                        </w:r>
                        <w:proofErr w:type="spellStart"/>
                        <w:r>
                          <w:rPr>
                            <w:color w:val="0070C0"/>
                            <w:spacing w:val="60"/>
                            <w:lang w:val="en-US"/>
                          </w:rPr>
                          <w:t>Contables</w:t>
                        </w:r>
                        <w:proofErr w:type="spellEnd"/>
                        <w:r>
                          <w:rPr>
                            <w:color w:val="0070C0"/>
                            <w:spacing w:val="60"/>
                            <w:lang w:val="en-US"/>
                          </w:rPr>
                          <w:t xml:space="preserve"> y </w:t>
                        </w:r>
                        <w:proofErr w:type="spellStart"/>
                        <w:r>
                          <w:rPr>
                            <w:color w:val="0070C0"/>
                            <w:spacing w:val="60"/>
                            <w:lang w:val="en-US"/>
                          </w:rPr>
                          <w:t>Tributarias</w:t>
                        </w:r>
                        <w:proofErr w:type="spellEnd"/>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61312" behindDoc="0" locked="0" layoutInCell="0" allowOverlap="1" wp14:anchorId="0227B621" wp14:editId="4882C470">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61312;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BF3DF8" w:rsidRDefault="00BF3DF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B4E" w:rsidRDefault="005C7B4E" w:rsidP="00FA7C89">
      <w:pPr>
        <w:spacing w:after="0" w:line="240" w:lineRule="auto"/>
      </w:pPr>
      <w:r>
        <w:separator/>
      </w:r>
    </w:p>
  </w:footnote>
  <w:footnote w:type="continuationSeparator" w:id="0">
    <w:p w:rsidR="005C7B4E" w:rsidRDefault="005C7B4E"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1842942"/>
      <w:docPartObj>
        <w:docPartGallery w:val="Page Numbers (Top of Page)"/>
        <w:docPartUnique/>
      </w:docPartObj>
    </w:sdtPr>
    <w:sdtEndPr>
      <w:rPr>
        <w:noProof/>
      </w:rPr>
    </w:sdtEndPr>
    <w:sdtContent>
      <w:p w:rsidR="00BF3DF8" w:rsidRDefault="00BF3DF8" w:rsidP="00A022A6">
        <w:pPr>
          <w:pStyle w:val="Encabezado"/>
        </w:pPr>
        <w:r w:rsidRPr="00047711">
          <w:rPr>
            <w:noProof/>
            <w:color w:val="0070C0"/>
            <w:sz w:val="28"/>
            <w:lang w:val="es-EC" w:eastAsia="es-EC"/>
          </w:rPr>
          <mc:AlternateContent>
            <mc:Choice Requires="wpg">
              <w:drawing>
                <wp:anchor distT="0" distB="0" distL="114300" distR="114300" simplePos="0" relativeHeight="251659264" behindDoc="0" locked="0" layoutInCell="0" allowOverlap="1" wp14:anchorId="2DED7061" wp14:editId="08FCF99B">
                  <wp:simplePos x="0" y="0"/>
                  <wp:positionH relativeFrom="rightMargin">
                    <wp:posOffset>-5961060</wp:posOffset>
                  </wp:positionH>
                  <wp:positionV relativeFrom="bottomMargin">
                    <wp:posOffset>-9378909</wp:posOffset>
                  </wp:positionV>
                  <wp:extent cx="457200" cy="301625"/>
                  <wp:effectExtent l="1587" t="0" r="1588" b="1587"/>
                  <wp:wrapNone/>
                  <wp:docPr id="22"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flipH="1">
                            <a:off x="0" y="0"/>
                            <a:ext cx="457200" cy="301625"/>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3"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4"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469.35pt;margin-top:-738.5pt;width:36pt;height:23.75pt;rotation:90;flip:x;z-index:251659264;mso-position-horizontal-relative:right-margin-area;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yAsQA&#10;AADbAAAADwAAAGRycy9kb3ducmV2LnhtbESPQWvCQBSE70L/w/IKvYhujCAlukoptXgR0RTx+Mg+&#10;k9Ds27C70eivdwsFj8PMfMMsVr1pxIWcry0rmIwTEMSF1TWXCn7y9egdhA/IGhvLpOBGHlbLl8EC&#10;M22vvKfLIZQiQthnqKAKoc2k9EVFBv3YtsTRO1tnMETpSqkdXiPcNDJNkpk0WHNcqLClz4qK30Nn&#10;FHQ3f+q67ff9a7fzw3zqjumxN0q9vfYfcxCB+vAM/7c3WkE6hb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cMgLEAAAA2wAAAA8AAAAAAAAAAAAAAAAAmAIAAGRycy9k&#10;b3ducmV2LnhtbFBLBQYAAAAABAAEAPUAAACJAw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2PMMA&#10;AADbAAAADwAAAGRycy9kb3ducmV2LnhtbESPUWvCMBSF3wf7D+EO9jbTioh0RpGBUtyLdvsBl+au&#10;KTY3WRNt+++XgeDj4ZzzHc56O9pO3KgPrWMF+SwDQVw73XKj4Ptr/7YCESKyxs4xKZgowHbz/LTG&#10;QruBz3SrYiMShEOBCkyMvpAy1IYshpnzxMn7cb3FmGTfSN3jkOC2k/MsW0qLLacFg54+DNWX6moV&#10;+OM+P3wOVX2dTr4Zf02ZH6ZSqdeXcfcOItIYH+F7u9QK5gv4/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I2PMMAAADbAAAADwAAAAAAAAAAAAAAAACYAgAAZHJzL2Rv&#10;d25yZXYueG1sUEsFBgAAAAAEAAQA9QAAAIgDA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Z8j8UA&#10;AADbAAAADwAAAGRycy9kb3ducmV2LnhtbESPQWvCQBSE74L/YXlCL0U3xlZs6ipSEAqK2OjB3h7Z&#10;1yRt9m3YXTX9926h4HGYmW+Y+bIzjbiQ87VlBeNRAoK4sLrmUsHxsB7OQPiArLGxTAp+ycNy0e/N&#10;MdP2yh90yUMpIoR9hgqqENpMSl9UZNCPbEscvS/rDIYoXSm1w2uEm0amSTKVBmuOCxW29FZR8ZOf&#10;jYKn3fZTbyaP3ynLSb5x6R5fTqVSD4Nu9QoiUBfu4f/2u1aQPsPf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nyPxQAAANsAAAAPAAAAAAAAAAAAAAAAAJgCAABkcnMv&#10;ZG93bnJldi54bWxQSwUGAAAAAAQABAD1AAAAigMAAAAA&#10;" adj="9730" filled="f" stroked="f" strokecolor="white"/>
                  <w10:wrap anchorx="margin" anchory="margin"/>
                </v:group>
              </w:pict>
            </mc:Fallback>
          </mc:AlternateContent>
        </w:r>
        <w:r w:rsidRPr="00047711">
          <w:rPr>
            <w:color w:val="0070C0"/>
            <w:sz w:val="28"/>
          </w:rPr>
          <w:fldChar w:fldCharType="begin"/>
        </w:r>
        <w:r w:rsidRPr="00047711">
          <w:rPr>
            <w:color w:val="0070C0"/>
            <w:sz w:val="28"/>
          </w:rPr>
          <w:instrText xml:space="preserve"> PAGE   \* MERGEFORMAT </w:instrText>
        </w:r>
        <w:r w:rsidRPr="00047711">
          <w:rPr>
            <w:color w:val="0070C0"/>
            <w:sz w:val="28"/>
          </w:rPr>
          <w:fldChar w:fldCharType="separate"/>
        </w:r>
        <w:r w:rsidR="001E799C">
          <w:rPr>
            <w:noProof/>
            <w:color w:val="0070C0"/>
            <w:sz w:val="28"/>
          </w:rPr>
          <w:t>2</w:t>
        </w:r>
        <w:r w:rsidRPr="00047711">
          <w:rPr>
            <w:noProof/>
            <w:color w:val="0070C0"/>
            <w:sz w:val="28"/>
          </w:rPr>
          <w:fldChar w:fldCharType="end"/>
        </w:r>
        <w:r w:rsidRPr="00047711">
          <w:rPr>
            <w:noProof/>
            <w:color w:val="0070C0"/>
            <w:sz w:val="28"/>
          </w:rPr>
          <w:t xml:space="preserve">   </w:t>
        </w:r>
      </w:p>
    </w:sdtContent>
  </w:sdt>
  <w:p w:rsidR="00BF3DF8" w:rsidRDefault="00BF3DF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9pt;height:9pt" o:bullet="t">
        <v:imagedata r:id="rId1" o:title="BD15059_"/>
      </v:shape>
    </w:pict>
  </w:numPicBullet>
  <w:abstractNum w:abstractNumId="0">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0"/>
  </w:num>
  <w:num w:numId="4">
    <w:abstractNumId w:val="3"/>
  </w:num>
  <w:num w:numId="5">
    <w:abstractNumId w:val="5"/>
  </w:num>
  <w:num w:numId="6">
    <w:abstractNumId w:val="11"/>
  </w:num>
  <w:num w:numId="7">
    <w:abstractNumId w:val="9"/>
  </w:num>
  <w:num w:numId="8">
    <w:abstractNumId w:val="6"/>
  </w:num>
  <w:num w:numId="9">
    <w:abstractNumId w:val="14"/>
  </w:num>
  <w:num w:numId="10">
    <w:abstractNumId w:val="8"/>
  </w:num>
  <w:num w:numId="11">
    <w:abstractNumId w:val="1"/>
  </w:num>
  <w:num w:numId="12">
    <w:abstractNumId w:val="12"/>
  </w:num>
  <w:num w:numId="13">
    <w:abstractNumId w:val="4"/>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47711"/>
    <w:rsid w:val="00153EF0"/>
    <w:rsid w:val="001732CC"/>
    <w:rsid w:val="0018394A"/>
    <w:rsid w:val="001E799C"/>
    <w:rsid w:val="00275878"/>
    <w:rsid w:val="002859F4"/>
    <w:rsid w:val="00361F3F"/>
    <w:rsid w:val="003962A0"/>
    <w:rsid w:val="003D737D"/>
    <w:rsid w:val="004038C7"/>
    <w:rsid w:val="00431533"/>
    <w:rsid w:val="004B386D"/>
    <w:rsid w:val="004C4C63"/>
    <w:rsid w:val="00514FB1"/>
    <w:rsid w:val="00557819"/>
    <w:rsid w:val="00575233"/>
    <w:rsid w:val="005850DF"/>
    <w:rsid w:val="005B5D4F"/>
    <w:rsid w:val="005C7B4E"/>
    <w:rsid w:val="00634277"/>
    <w:rsid w:val="00710602"/>
    <w:rsid w:val="007A674C"/>
    <w:rsid w:val="007D22FB"/>
    <w:rsid w:val="007D58A7"/>
    <w:rsid w:val="008B73CB"/>
    <w:rsid w:val="00931308"/>
    <w:rsid w:val="00931822"/>
    <w:rsid w:val="00936667"/>
    <w:rsid w:val="00945A0C"/>
    <w:rsid w:val="00951B6E"/>
    <w:rsid w:val="0097165A"/>
    <w:rsid w:val="0098393D"/>
    <w:rsid w:val="00995589"/>
    <w:rsid w:val="009B6CA7"/>
    <w:rsid w:val="00A022A6"/>
    <w:rsid w:val="00A05B77"/>
    <w:rsid w:val="00A461F9"/>
    <w:rsid w:val="00A75150"/>
    <w:rsid w:val="00A76978"/>
    <w:rsid w:val="00AD7D8C"/>
    <w:rsid w:val="00AF0448"/>
    <w:rsid w:val="00B8273A"/>
    <w:rsid w:val="00BA09F5"/>
    <w:rsid w:val="00BF3DF8"/>
    <w:rsid w:val="00BF5CA9"/>
    <w:rsid w:val="00C81C95"/>
    <w:rsid w:val="00CA445F"/>
    <w:rsid w:val="00D06451"/>
    <w:rsid w:val="00D1320E"/>
    <w:rsid w:val="00E07A75"/>
    <w:rsid w:val="00E262EE"/>
    <w:rsid w:val="00E557FD"/>
    <w:rsid w:val="00EC3B96"/>
    <w:rsid w:val="00EE2CFE"/>
    <w:rsid w:val="00F53E68"/>
    <w:rsid w:val="00FA7C89"/>
    <w:rsid w:val="00FD379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semiHidden/>
    <w:unhideWhenUsed/>
    <w:rsid w:val="00EE2CFE"/>
    <w:rPr>
      <w:color w:val="0000FF"/>
      <w:u w:val="single"/>
    </w:rPr>
  </w:style>
  <w:style w:type="paragraph" w:styleId="NormalWeb">
    <w:name w:val="Normal (Web)"/>
    <w:basedOn w:val="Normal"/>
    <w:uiPriority w:val="99"/>
    <w:semiHidden/>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character" w:styleId="Textoennegrita">
    <w:name w:val="Strong"/>
    <w:basedOn w:val="Fuentedeprrafopredeter"/>
    <w:uiPriority w:val="22"/>
    <w:qFormat/>
    <w:rsid w:val="00D132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semiHidden/>
    <w:unhideWhenUsed/>
    <w:rsid w:val="00EE2CFE"/>
    <w:rPr>
      <w:color w:val="0000FF"/>
      <w:u w:val="single"/>
    </w:rPr>
  </w:style>
  <w:style w:type="paragraph" w:styleId="NormalWeb">
    <w:name w:val="Normal (Web)"/>
    <w:basedOn w:val="Normal"/>
    <w:uiPriority w:val="99"/>
    <w:semiHidden/>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character" w:styleId="Textoennegrita">
    <w:name w:val="Strong"/>
    <w:basedOn w:val="Fuentedeprrafopredeter"/>
    <w:uiPriority w:val="22"/>
    <w:qFormat/>
    <w:rsid w:val="00D132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8190013">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314262153">
      <w:bodyDiv w:val="1"/>
      <w:marLeft w:val="0"/>
      <w:marRight w:val="0"/>
      <w:marTop w:val="0"/>
      <w:marBottom w:val="0"/>
      <w:divBdr>
        <w:top w:val="none" w:sz="0" w:space="0" w:color="auto"/>
        <w:left w:val="none" w:sz="0" w:space="0" w:color="auto"/>
        <w:bottom w:val="none" w:sz="0" w:space="0" w:color="auto"/>
        <w:right w:val="none" w:sz="0" w:space="0" w:color="auto"/>
      </w:divBdr>
    </w:div>
    <w:div w:id="345207797">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61755442">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843931930">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javascript:Vincular('89099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Vincular('892820')" TargetMode="External"/><Relationship Id="rId5" Type="http://schemas.microsoft.com/office/2007/relationships/stylesWithEffects" Target="stylesWithEffects.xml"/><Relationship Id="rId15" Type="http://schemas.openxmlformats.org/officeDocument/2006/relationships/image" Target="media/image3.jpg"/><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Soluciones Contables y Tributarias</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2642C2B-858B-4136-9EAE-0FB5CAFF7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2173</Words>
  <Characters>11952</Characters>
  <Application>Microsoft Office Word</Application>
  <DocSecurity>0</DocSecurity>
  <Lines>99</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2016-03-15T20:23:00Z</cp:lastPrinted>
  <dcterms:created xsi:type="dcterms:W3CDTF">2016-03-21T16:29:00Z</dcterms:created>
  <dcterms:modified xsi:type="dcterms:W3CDTF">2016-03-21T16:29:00Z</dcterms:modified>
</cp:coreProperties>
</file>